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6E68F8" w14:paraId="164DCF71" w14:textId="77777777" w:rsidTr="009339E8">
        <w:trPr>
          <w:gridAfter w:val="1"/>
          <w:wAfter w:w="2835" w:type="dxa"/>
          <w:cantSplit/>
          <w:trHeight w:val="569"/>
        </w:trPr>
        <w:tc>
          <w:tcPr>
            <w:tcW w:w="4786" w:type="dxa"/>
            <w:shd w:val="clear" w:color="auto" w:fill="BFBFBF"/>
            <w:vAlign w:val="center"/>
          </w:tcPr>
          <w:p w14:paraId="164DCF6F" w14:textId="77777777" w:rsidR="001A2718" w:rsidRPr="009E2B84" w:rsidRDefault="00CC7D80" w:rsidP="009339E8">
            <w:pPr>
              <w:keepNext/>
              <w:shd w:val="clear" w:color="auto" w:fill="BFBFBF"/>
              <w:jc w:val="center"/>
              <w:outlineLvl w:val="0"/>
              <w:rPr>
                <w:b/>
              </w:rPr>
            </w:pPr>
            <w:r>
              <w:rPr>
                <w:noProof/>
              </w:rPr>
              <w:drawing>
                <wp:anchor distT="0" distB="0" distL="114300" distR="114300" simplePos="0" relativeHeight="251658240" behindDoc="1" locked="0" layoutInCell="0" allowOverlap="1" wp14:anchorId="164DD040" wp14:editId="164DD04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50889"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164DCF70" w14:textId="77777777" w:rsidR="001A2718" w:rsidRPr="009E2B84" w:rsidRDefault="00CC7D80" w:rsidP="009339E8">
            <w:pPr>
              <w:jc w:val="center"/>
              <w:rPr>
                <w:b/>
              </w:rPr>
            </w:pPr>
            <w:r w:rsidRPr="009E2B84">
              <w:rPr>
                <w:b/>
              </w:rPr>
              <w:t>ON</w:t>
            </w:r>
          </w:p>
        </w:tc>
      </w:tr>
      <w:tr w:rsidR="006E68F8" w14:paraId="164DCF74" w14:textId="77777777" w:rsidTr="009339E8">
        <w:trPr>
          <w:gridAfter w:val="1"/>
          <w:wAfter w:w="2835" w:type="dxa"/>
          <w:cantSplit/>
          <w:trHeight w:val="654"/>
        </w:trPr>
        <w:tc>
          <w:tcPr>
            <w:tcW w:w="4786" w:type="dxa"/>
            <w:tcBorders>
              <w:bottom w:val="nil"/>
            </w:tcBorders>
            <w:vAlign w:val="center"/>
          </w:tcPr>
          <w:p w14:paraId="164DCF72" w14:textId="77777777" w:rsidR="001A2718" w:rsidRPr="006B58F6" w:rsidRDefault="00CC7D80" w:rsidP="009339E8">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Panel</w:t>
            </w:r>
            <w:r w:rsidRPr="006B58F6">
              <w:rPr>
                <w:b/>
              </w:rPr>
              <w:fldChar w:fldCharType="end"/>
            </w:r>
          </w:p>
        </w:tc>
        <w:tc>
          <w:tcPr>
            <w:tcW w:w="2268" w:type="dxa"/>
            <w:gridSpan w:val="2"/>
            <w:tcBorders>
              <w:bottom w:val="nil"/>
            </w:tcBorders>
            <w:vAlign w:val="center"/>
          </w:tcPr>
          <w:p w14:paraId="164DCF73" w14:textId="77777777" w:rsidR="001A2718" w:rsidRPr="006B58F6" w:rsidRDefault="00CC7D80" w:rsidP="009339E8">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19</w:t>
            </w:r>
            <w:r w:rsidRPr="006B58F6">
              <w:rPr>
                <w:b/>
              </w:rPr>
              <w:t xml:space="preserve"> November 2020</w:t>
            </w:r>
            <w:r w:rsidRPr="006B58F6">
              <w:rPr>
                <w:b/>
              </w:rPr>
              <w:fldChar w:fldCharType="end"/>
            </w:r>
            <w:r>
              <w:rPr>
                <w:b/>
              </w:rPr>
              <w:t xml:space="preserve"> </w:t>
            </w:r>
          </w:p>
        </w:tc>
      </w:tr>
      <w:tr w:rsidR="006E68F8" w14:paraId="164DCF76" w14:textId="77777777" w:rsidTr="009339E8">
        <w:trPr>
          <w:gridAfter w:val="1"/>
          <w:wAfter w:w="2835" w:type="dxa"/>
          <w:cantSplit/>
          <w:trHeight w:val="560"/>
        </w:trPr>
        <w:tc>
          <w:tcPr>
            <w:tcW w:w="7054" w:type="dxa"/>
            <w:gridSpan w:val="3"/>
            <w:tcBorders>
              <w:left w:val="nil"/>
              <w:right w:val="nil"/>
            </w:tcBorders>
          </w:tcPr>
          <w:p w14:paraId="164DCF75" w14:textId="77777777" w:rsidR="001A2718" w:rsidRPr="009E2B84" w:rsidRDefault="00FA5607" w:rsidP="009339E8">
            <w:pPr>
              <w:jc w:val="right"/>
              <w:rPr>
                <w:sz w:val="8"/>
              </w:rPr>
            </w:pPr>
          </w:p>
        </w:tc>
      </w:tr>
      <w:tr w:rsidR="006E68F8" w14:paraId="164DCF79" w14:textId="77777777" w:rsidTr="009339E8">
        <w:trPr>
          <w:cantSplit/>
        </w:trPr>
        <w:tc>
          <w:tcPr>
            <w:tcW w:w="6912" w:type="dxa"/>
            <w:gridSpan w:val="2"/>
            <w:shd w:val="clear" w:color="auto" w:fill="BFBFBF"/>
            <w:vAlign w:val="center"/>
          </w:tcPr>
          <w:p w14:paraId="164DCF77" w14:textId="77777777" w:rsidR="001A2718" w:rsidRPr="009E2B84" w:rsidRDefault="00CC7D80" w:rsidP="009339E8">
            <w:pPr>
              <w:jc w:val="center"/>
              <w:rPr>
                <w:b/>
              </w:rPr>
            </w:pPr>
            <w:r w:rsidRPr="009E2B84">
              <w:rPr>
                <w:b/>
              </w:rPr>
              <w:t>TITLE</w:t>
            </w:r>
          </w:p>
        </w:tc>
        <w:tc>
          <w:tcPr>
            <w:tcW w:w="2977" w:type="dxa"/>
            <w:gridSpan w:val="2"/>
            <w:shd w:val="clear" w:color="auto" w:fill="BFBFBF"/>
            <w:vAlign w:val="center"/>
          </w:tcPr>
          <w:p w14:paraId="164DCF78" w14:textId="77777777" w:rsidR="001A2718" w:rsidRPr="009E2B84" w:rsidRDefault="00CC7D80" w:rsidP="009339E8">
            <w:pPr>
              <w:jc w:val="center"/>
              <w:rPr>
                <w:b/>
              </w:rPr>
            </w:pPr>
            <w:r>
              <w:rPr>
                <w:b/>
              </w:rPr>
              <w:t>REPORT OF</w:t>
            </w:r>
          </w:p>
        </w:tc>
      </w:tr>
      <w:tr w:rsidR="006E68F8" w14:paraId="164DCF7C" w14:textId="77777777" w:rsidTr="009339E8">
        <w:trPr>
          <w:cantSplit/>
          <w:trHeight w:val="667"/>
        </w:trPr>
        <w:tc>
          <w:tcPr>
            <w:tcW w:w="6912" w:type="dxa"/>
            <w:gridSpan w:val="2"/>
            <w:vAlign w:val="center"/>
          </w:tcPr>
          <w:p w14:paraId="164DCF7A" w14:textId="6AC31CE0" w:rsidR="001A2718" w:rsidRPr="009E2B84" w:rsidRDefault="00CC7D80" w:rsidP="009339E8">
            <w:pPr>
              <w:rPr>
                <w:b/>
              </w:rPr>
            </w:pPr>
            <w:r w:rsidRPr="002A19F4">
              <w:rPr>
                <w:rFonts w:cs="Arial"/>
                <w:b/>
                <w:szCs w:val="22"/>
              </w:rPr>
              <w:fldChar w:fldCharType="begin"/>
            </w:r>
            <w:r w:rsidRPr="002A19F4">
              <w:rPr>
                <w:rFonts w:cs="Arial"/>
                <w:b/>
                <w:szCs w:val="22"/>
              </w:rPr>
              <w:instrText xml:space="preserve"> DOCPROPERTY  IssueTitle  \* MERGEFORMAT </w:instrText>
            </w:r>
            <w:r w:rsidRPr="002A19F4">
              <w:rPr>
                <w:rFonts w:cs="Arial"/>
                <w:b/>
                <w:szCs w:val="22"/>
              </w:rPr>
              <w:fldChar w:fldCharType="separate"/>
            </w:r>
            <w:r w:rsidRPr="002A19F4">
              <w:rPr>
                <w:rFonts w:cs="Arial"/>
                <w:b/>
                <w:szCs w:val="22"/>
              </w:rPr>
              <w:t>Tesco Stores Ltd</w:t>
            </w:r>
            <w:r w:rsidRPr="002A19F4">
              <w:rPr>
                <w:rFonts w:cs="Arial"/>
                <w:b/>
                <w:szCs w:val="22"/>
              </w:rPr>
              <w:fldChar w:fldCharType="end"/>
            </w:r>
          </w:p>
        </w:tc>
        <w:tc>
          <w:tcPr>
            <w:tcW w:w="2977" w:type="dxa"/>
            <w:gridSpan w:val="2"/>
            <w:vAlign w:val="center"/>
          </w:tcPr>
          <w:p w14:paraId="164DCF7B" w14:textId="77777777" w:rsidR="001A2718" w:rsidRPr="001A54F4" w:rsidRDefault="00CC7D80" w:rsidP="009339E8">
            <w:pPr>
              <w:rPr>
                <w:b/>
              </w:rPr>
            </w:pPr>
            <w:r>
              <w:rPr>
                <w:b/>
              </w:rPr>
              <w:fldChar w:fldCharType="begin"/>
            </w:r>
            <w:r>
              <w:rPr>
                <w:b/>
              </w:rPr>
              <w:instrText xml:space="preserve"> DOCPROPERTY  LeadDirector  \* MERGEFORMAT </w:instrText>
            </w:r>
            <w:r>
              <w:rPr>
                <w:b/>
              </w:rPr>
              <w:fldChar w:fldCharType="separate"/>
            </w:r>
            <w:r>
              <w:rPr>
                <w:b/>
              </w:rPr>
              <w:t>Shared Services Lead - Legal &amp; Deputy Monitoring Officer</w:t>
            </w:r>
            <w:r>
              <w:rPr>
                <w:b/>
              </w:rPr>
              <w:fldChar w:fldCharType="end"/>
            </w:r>
          </w:p>
        </w:tc>
      </w:tr>
    </w:tbl>
    <w:p w14:paraId="164DCF7D" w14:textId="77777777" w:rsidR="001A2718" w:rsidRPr="009E2B84" w:rsidRDefault="00FA5607" w:rsidP="001A2718"/>
    <w:p w14:paraId="164DCF7E" w14:textId="77777777" w:rsidR="001A2718" w:rsidRDefault="00FA5607" w:rsidP="001A2718">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6E68F8" w14:paraId="164DCF85" w14:textId="77777777" w:rsidTr="009339E8">
        <w:tc>
          <w:tcPr>
            <w:tcW w:w="6652" w:type="dxa"/>
            <w:shd w:val="clear" w:color="auto" w:fill="auto"/>
          </w:tcPr>
          <w:p w14:paraId="164DCF7F" w14:textId="77777777" w:rsidR="001A2718" w:rsidRDefault="00FA5607" w:rsidP="009339E8">
            <w:pPr>
              <w:rPr>
                <w:szCs w:val="22"/>
              </w:rPr>
            </w:pPr>
          </w:p>
          <w:p w14:paraId="164DCF80" w14:textId="77777777" w:rsidR="001A2718" w:rsidRPr="009C1143" w:rsidRDefault="00CC7D80" w:rsidP="009339E8">
            <w:pPr>
              <w:rPr>
                <w:szCs w:val="22"/>
              </w:rPr>
            </w:pPr>
            <w:r>
              <w:rPr>
                <w:szCs w:val="22"/>
              </w:rPr>
              <w:t>Is this report confidential?</w:t>
            </w:r>
          </w:p>
        </w:tc>
        <w:tc>
          <w:tcPr>
            <w:tcW w:w="3266" w:type="dxa"/>
            <w:shd w:val="clear" w:color="auto" w:fill="auto"/>
          </w:tcPr>
          <w:p w14:paraId="164DCF81" w14:textId="77777777" w:rsidR="001A2718" w:rsidRDefault="00FA5607" w:rsidP="009339E8">
            <w:pPr>
              <w:rPr>
                <w:b/>
                <w:szCs w:val="22"/>
              </w:rPr>
            </w:pPr>
          </w:p>
          <w:p w14:paraId="164DCF82" w14:textId="77777777" w:rsidR="001A2718" w:rsidRPr="00F3057A" w:rsidRDefault="00CC7D80" w:rsidP="009339E8">
            <w:pPr>
              <w:rPr>
                <w:b/>
                <w:szCs w:val="22"/>
              </w:rPr>
            </w:pPr>
            <w:r w:rsidRPr="00F3057A">
              <w:rPr>
                <w:b/>
                <w:szCs w:val="22"/>
              </w:rPr>
              <w:t xml:space="preserve">No </w:t>
            </w:r>
          </w:p>
          <w:p w14:paraId="164DCF83" w14:textId="77777777" w:rsidR="001A2718" w:rsidRPr="009C1143" w:rsidRDefault="00FA5607" w:rsidP="009339E8">
            <w:pPr>
              <w:rPr>
                <w:i/>
                <w:color w:val="0070C0"/>
                <w:szCs w:val="22"/>
              </w:rPr>
            </w:pPr>
          </w:p>
          <w:p w14:paraId="164DCF84" w14:textId="77777777" w:rsidR="001A2718" w:rsidRPr="009C1143" w:rsidRDefault="00FA5607" w:rsidP="009339E8">
            <w:pPr>
              <w:rPr>
                <w:szCs w:val="22"/>
              </w:rPr>
            </w:pPr>
          </w:p>
        </w:tc>
      </w:tr>
    </w:tbl>
    <w:p w14:paraId="164DCF86" w14:textId="77777777" w:rsidR="001A2718" w:rsidRPr="00C278CB" w:rsidRDefault="00FA5607" w:rsidP="001A2718">
      <w:pPr>
        <w:jc w:val="center"/>
        <w:rPr>
          <w:b/>
          <w:sz w:val="16"/>
          <w:szCs w:val="16"/>
        </w:rPr>
      </w:pPr>
    </w:p>
    <w:p w14:paraId="164DCF87" w14:textId="77777777" w:rsidR="001A2718" w:rsidRPr="00C278CB" w:rsidRDefault="00FA5607" w:rsidP="001A2718">
      <w:pPr>
        <w:tabs>
          <w:tab w:val="left" w:pos="567"/>
        </w:tabs>
        <w:ind w:left="567" w:hanging="567"/>
        <w:rPr>
          <w:sz w:val="16"/>
          <w:szCs w:val="16"/>
        </w:rPr>
      </w:pPr>
    </w:p>
    <w:p w14:paraId="164DCF88" w14:textId="77777777" w:rsidR="001A2718" w:rsidRPr="00C278CB" w:rsidRDefault="00CC7D80" w:rsidP="001A2718">
      <w:pPr>
        <w:keepNext/>
        <w:tabs>
          <w:tab w:val="left" w:pos="567"/>
        </w:tabs>
        <w:outlineLvl w:val="0"/>
        <w:rPr>
          <w:b/>
          <w:szCs w:val="22"/>
        </w:rPr>
      </w:pPr>
      <w:r w:rsidRPr="00C278CB">
        <w:rPr>
          <w:b/>
          <w:szCs w:val="22"/>
        </w:rPr>
        <w:t xml:space="preserve">PURPOSE OF THE REPORT  </w:t>
      </w:r>
    </w:p>
    <w:p w14:paraId="164DCF89" w14:textId="77777777" w:rsidR="001A2718" w:rsidRPr="00C278CB" w:rsidRDefault="00FA5607" w:rsidP="001A2718">
      <w:pPr>
        <w:keepNext/>
        <w:tabs>
          <w:tab w:val="left" w:pos="567"/>
        </w:tabs>
        <w:ind w:left="567" w:hanging="567"/>
        <w:outlineLvl w:val="0"/>
        <w:rPr>
          <w:b/>
          <w:szCs w:val="22"/>
        </w:rPr>
      </w:pPr>
    </w:p>
    <w:p w14:paraId="164DCF8A" w14:textId="77777777" w:rsidR="001A2718" w:rsidRPr="00B95856" w:rsidRDefault="00CC7D80" w:rsidP="001A2718">
      <w:pPr>
        <w:pStyle w:val="ListParagraph"/>
        <w:numPr>
          <w:ilvl w:val="0"/>
          <w:numId w:val="17"/>
        </w:numPr>
        <w:ind w:left="360"/>
        <w:rPr>
          <w:rFonts w:cs="Arial"/>
        </w:rPr>
      </w:pPr>
      <w:r w:rsidRPr="00B95856">
        <w:rPr>
          <w:rFonts w:cs="Arial"/>
        </w:rPr>
        <w:t>To provide an overview of the application and inform Members of the relevant parts of statute and guidance relating to this application.</w:t>
      </w:r>
    </w:p>
    <w:p w14:paraId="164DCF8B" w14:textId="77777777" w:rsidR="001A2718" w:rsidRPr="00C278CB" w:rsidRDefault="00FA5607" w:rsidP="001A2718">
      <w:pPr>
        <w:tabs>
          <w:tab w:val="left" w:pos="567"/>
        </w:tabs>
        <w:ind w:left="567" w:hanging="567"/>
        <w:rPr>
          <w:rFonts w:cs="Arial"/>
          <w:sz w:val="16"/>
          <w:szCs w:val="16"/>
        </w:rPr>
      </w:pPr>
    </w:p>
    <w:p w14:paraId="164DCF8C" w14:textId="77777777" w:rsidR="001A2718" w:rsidRPr="00C278CB" w:rsidRDefault="00FA5607" w:rsidP="001A2718">
      <w:pPr>
        <w:tabs>
          <w:tab w:val="left" w:pos="567"/>
        </w:tabs>
        <w:ind w:left="567" w:hanging="567"/>
        <w:rPr>
          <w:rFonts w:cs="Arial"/>
          <w:szCs w:val="22"/>
        </w:rPr>
      </w:pPr>
    </w:p>
    <w:p w14:paraId="164DCF8D" w14:textId="77777777" w:rsidR="001A2718" w:rsidRDefault="00CC7D80" w:rsidP="001A2718">
      <w:pPr>
        <w:keepNext/>
        <w:tabs>
          <w:tab w:val="left" w:pos="567"/>
        </w:tabs>
        <w:outlineLvl w:val="0"/>
        <w:rPr>
          <w:rFonts w:cs="Arial"/>
          <w:b/>
          <w:szCs w:val="22"/>
        </w:rPr>
      </w:pPr>
      <w:r w:rsidRPr="00C278CB">
        <w:rPr>
          <w:rFonts w:cs="Arial"/>
          <w:b/>
          <w:szCs w:val="22"/>
        </w:rPr>
        <w:t>RECOMMENDATIONS</w:t>
      </w:r>
    </w:p>
    <w:p w14:paraId="164DCF8E" w14:textId="77777777" w:rsidR="001A2718" w:rsidRPr="00C278CB" w:rsidRDefault="00FA5607" w:rsidP="001A2718">
      <w:pPr>
        <w:keepNext/>
        <w:tabs>
          <w:tab w:val="left" w:pos="567"/>
        </w:tabs>
        <w:outlineLvl w:val="0"/>
        <w:rPr>
          <w:rFonts w:cs="Arial"/>
          <w:b/>
          <w:szCs w:val="22"/>
        </w:rPr>
      </w:pPr>
    </w:p>
    <w:p w14:paraId="164DCF8F" w14:textId="77777777" w:rsidR="001A2718" w:rsidRPr="00A73E98" w:rsidRDefault="00CC7D80" w:rsidP="001A2718">
      <w:pPr>
        <w:pStyle w:val="ListParagraph"/>
        <w:keepNext/>
        <w:numPr>
          <w:ilvl w:val="0"/>
          <w:numId w:val="17"/>
        </w:numPr>
        <w:tabs>
          <w:tab w:val="left" w:pos="567"/>
        </w:tabs>
        <w:ind w:left="360"/>
        <w:outlineLvl w:val="0"/>
        <w:rPr>
          <w:rFonts w:cs="Arial"/>
        </w:rPr>
      </w:pPr>
      <w:r w:rsidRPr="00A73E98">
        <w:rPr>
          <w:rFonts w:cs="Arial"/>
        </w:rPr>
        <w:t xml:space="preserve"> Members are requested to:</w:t>
      </w:r>
    </w:p>
    <w:p w14:paraId="164DCF90" w14:textId="77777777" w:rsidR="001A2718" w:rsidRPr="00A73E98" w:rsidRDefault="00FA5607" w:rsidP="001A2718">
      <w:pPr>
        <w:pStyle w:val="ListParagraph"/>
        <w:keepNext/>
        <w:tabs>
          <w:tab w:val="left" w:pos="567"/>
        </w:tabs>
        <w:outlineLvl w:val="0"/>
        <w:rPr>
          <w:rFonts w:cs="Arial"/>
        </w:rPr>
      </w:pPr>
    </w:p>
    <w:p w14:paraId="164DCF91" w14:textId="77777777" w:rsidR="001A2718" w:rsidRDefault="00CC7D80" w:rsidP="001A2718">
      <w:pPr>
        <w:pStyle w:val="ListParagraph"/>
        <w:keepNext/>
        <w:numPr>
          <w:ilvl w:val="0"/>
          <w:numId w:val="17"/>
        </w:numPr>
        <w:tabs>
          <w:tab w:val="left" w:pos="567"/>
        </w:tabs>
        <w:ind w:left="360"/>
        <w:outlineLvl w:val="0"/>
        <w:rPr>
          <w:rFonts w:cs="Arial"/>
        </w:rPr>
      </w:pPr>
      <w:r w:rsidRPr="000766F1">
        <w:rPr>
          <w:rFonts w:cs="Arial"/>
        </w:rPr>
        <w:t xml:space="preserve">Note the content of the report; and </w:t>
      </w:r>
    </w:p>
    <w:p w14:paraId="164DCF92" w14:textId="77777777" w:rsidR="001A2718" w:rsidRPr="00264821" w:rsidRDefault="00FA5607" w:rsidP="001A2718">
      <w:pPr>
        <w:pStyle w:val="ListParagraph"/>
        <w:rPr>
          <w:rFonts w:cs="Arial"/>
        </w:rPr>
      </w:pPr>
    </w:p>
    <w:p w14:paraId="164DCF93" w14:textId="77777777" w:rsidR="001A2718" w:rsidRPr="008858BC" w:rsidRDefault="00CC7D80" w:rsidP="001A2718">
      <w:pPr>
        <w:pStyle w:val="ListParagraph"/>
        <w:keepNext/>
        <w:numPr>
          <w:ilvl w:val="0"/>
          <w:numId w:val="17"/>
        </w:numPr>
        <w:tabs>
          <w:tab w:val="left" w:pos="567"/>
        </w:tabs>
        <w:ind w:left="360"/>
        <w:outlineLvl w:val="0"/>
        <w:rPr>
          <w:rFonts w:cs="Arial"/>
        </w:rPr>
      </w:pPr>
      <w:r>
        <w:rPr>
          <w:rFonts w:cs="Arial"/>
        </w:rPr>
        <w:t>D</w:t>
      </w:r>
      <w:r w:rsidRPr="007D610E">
        <w:rPr>
          <w:rFonts w:cs="Arial"/>
        </w:rPr>
        <w:t>etermine whether to grant or reject the application. If members grant the application, they</w:t>
      </w:r>
      <w:r>
        <w:rPr>
          <w:rFonts w:cs="Arial"/>
        </w:rPr>
        <w:t xml:space="preserve"> </w:t>
      </w:r>
      <w:r w:rsidRPr="007D610E">
        <w:rPr>
          <w:rFonts w:cs="Arial"/>
        </w:rPr>
        <w:t>are asked to consider whether any additional conditions or restrictions should apply (taking into account any representations that have been made).</w:t>
      </w:r>
    </w:p>
    <w:p w14:paraId="164DCF94" w14:textId="77777777" w:rsidR="001A2718" w:rsidRPr="00BB7027" w:rsidRDefault="00FA5607" w:rsidP="001A2718">
      <w:pPr>
        <w:pStyle w:val="ListParagraph"/>
        <w:ind w:left="0"/>
        <w:rPr>
          <w:rFonts w:cs="Arial"/>
        </w:rPr>
      </w:pPr>
    </w:p>
    <w:p w14:paraId="164DCF95" w14:textId="77777777" w:rsidR="001A2718" w:rsidRPr="000766F1" w:rsidRDefault="00CC7D80" w:rsidP="001A2718">
      <w:pPr>
        <w:pStyle w:val="ListParagraph"/>
        <w:numPr>
          <w:ilvl w:val="0"/>
          <w:numId w:val="17"/>
        </w:numPr>
        <w:ind w:left="360"/>
        <w:jc w:val="both"/>
      </w:pPr>
      <w:r>
        <w:t>C</w:t>
      </w:r>
      <w:r w:rsidRPr="00146C1F">
        <w:t>onduct the hearing in accordance with the hearing procedure</w:t>
      </w:r>
      <w:r>
        <w:t>.</w:t>
      </w:r>
    </w:p>
    <w:p w14:paraId="164DCF96" w14:textId="77777777" w:rsidR="001A2718" w:rsidRPr="00C278CB" w:rsidRDefault="00FA5607" w:rsidP="001A2718">
      <w:pPr>
        <w:tabs>
          <w:tab w:val="left" w:pos="567"/>
        </w:tabs>
        <w:ind w:left="567" w:hanging="567"/>
        <w:rPr>
          <w:i/>
          <w:szCs w:val="22"/>
        </w:rPr>
      </w:pPr>
    </w:p>
    <w:p w14:paraId="164DCF97" w14:textId="77777777" w:rsidR="001A2718" w:rsidRPr="00C278CB" w:rsidRDefault="00FA5607" w:rsidP="001A2718">
      <w:pPr>
        <w:tabs>
          <w:tab w:val="left" w:pos="567"/>
        </w:tabs>
        <w:rPr>
          <w:sz w:val="16"/>
          <w:szCs w:val="16"/>
        </w:rPr>
      </w:pPr>
    </w:p>
    <w:p w14:paraId="164DCF99" w14:textId="77777777" w:rsidR="001A2718" w:rsidRPr="00C278CB" w:rsidRDefault="00CC7D80" w:rsidP="001A2718">
      <w:pPr>
        <w:keepNext/>
        <w:tabs>
          <w:tab w:val="left" w:pos="567"/>
        </w:tabs>
        <w:outlineLvl w:val="0"/>
        <w:rPr>
          <w:b/>
          <w:szCs w:val="22"/>
        </w:rPr>
      </w:pPr>
      <w:r w:rsidRPr="00C278CB">
        <w:rPr>
          <w:b/>
          <w:szCs w:val="22"/>
        </w:rPr>
        <w:t xml:space="preserve">CORPORATE </w:t>
      </w:r>
      <w:r>
        <w:rPr>
          <w:b/>
          <w:szCs w:val="22"/>
        </w:rPr>
        <w:t>PRIORITIES</w:t>
      </w:r>
    </w:p>
    <w:p w14:paraId="164DCF9A" w14:textId="77777777" w:rsidR="001A2718" w:rsidRPr="00C278CB" w:rsidRDefault="00FA5607" w:rsidP="001A2718">
      <w:pPr>
        <w:keepNext/>
        <w:tabs>
          <w:tab w:val="left" w:pos="567"/>
        </w:tabs>
        <w:ind w:left="567" w:hanging="567"/>
        <w:outlineLvl w:val="0"/>
        <w:rPr>
          <w:b/>
          <w:szCs w:val="22"/>
        </w:rPr>
      </w:pPr>
    </w:p>
    <w:p w14:paraId="164DCF9B" w14:textId="77777777" w:rsidR="001A2718" w:rsidRPr="00C278CB" w:rsidRDefault="00CC7D80" w:rsidP="004F2044">
      <w:pPr>
        <w:pStyle w:val="ListParagraph"/>
        <w:keepNext/>
        <w:numPr>
          <w:ilvl w:val="0"/>
          <w:numId w:val="17"/>
        </w:numPr>
        <w:tabs>
          <w:tab w:val="left" w:pos="567"/>
        </w:tabs>
        <w:ind w:left="360"/>
        <w:outlineLvl w:val="0"/>
        <w:rPr>
          <w:i/>
        </w:rPr>
      </w:pPr>
      <w:r w:rsidRPr="00C278CB">
        <w:t xml:space="preserve"> The report relates to the following corporate priorities:</w:t>
      </w:r>
      <w:r w:rsidRPr="00C278CB">
        <w:rPr>
          <w:b/>
        </w:rPr>
        <w:t xml:space="preserve"> </w:t>
      </w:r>
    </w:p>
    <w:p w14:paraId="164DCF9C" w14:textId="77777777" w:rsidR="001A2718" w:rsidRPr="00C278CB" w:rsidRDefault="00FA5607" w:rsidP="001A2718">
      <w:pPr>
        <w:keepNext/>
        <w:outlineLvl w:val="0"/>
        <w:rPr>
          <w:b/>
          <w:szCs w:val="22"/>
        </w:rPr>
      </w:pPr>
    </w:p>
    <w:tbl>
      <w:tblPr>
        <w:tblW w:w="64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850"/>
      </w:tblGrid>
      <w:tr w:rsidR="006E68F8" w14:paraId="164DCFA0" w14:textId="77777777" w:rsidTr="009339E8">
        <w:tc>
          <w:tcPr>
            <w:tcW w:w="5557" w:type="dxa"/>
            <w:shd w:val="clear" w:color="auto" w:fill="auto"/>
          </w:tcPr>
          <w:p w14:paraId="164DCF9D" w14:textId="77777777" w:rsidR="001A2718" w:rsidRPr="00C278CB" w:rsidRDefault="00CC7D80" w:rsidP="009339E8">
            <w:pPr>
              <w:rPr>
                <w:szCs w:val="22"/>
              </w:rPr>
            </w:pPr>
            <w:r>
              <w:rPr>
                <w:szCs w:val="22"/>
              </w:rPr>
              <w:t>An exemplary Council</w:t>
            </w:r>
          </w:p>
          <w:p w14:paraId="164DCF9E" w14:textId="77777777" w:rsidR="001A2718" w:rsidRPr="00C278CB" w:rsidRDefault="00FA5607" w:rsidP="009339E8">
            <w:pPr>
              <w:rPr>
                <w:szCs w:val="22"/>
              </w:rPr>
            </w:pPr>
          </w:p>
        </w:tc>
        <w:tc>
          <w:tcPr>
            <w:tcW w:w="850" w:type="dxa"/>
            <w:shd w:val="clear" w:color="auto" w:fill="auto"/>
          </w:tcPr>
          <w:p w14:paraId="164DCF9F" w14:textId="77777777" w:rsidR="001A2718" w:rsidRPr="00C278CB" w:rsidRDefault="00CC7D80" w:rsidP="009339E8">
            <w:pPr>
              <w:rPr>
                <w:szCs w:val="22"/>
                <w:highlight w:val="yellow"/>
              </w:rPr>
            </w:pPr>
            <w:r>
              <w:rPr>
                <w:szCs w:val="22"/>
                <w:highlight w:val="yellow"/>
              </w:rPr>
              <w:t>X</w:t>
            </w:r>
          </w:p>
        </w:tc>
      </w:tr>
      <w:tr w:rsidR="006E68F8" w14:paraId="164DCFA4" w14:textId="77777777" w:rsidTr="009339E8">
        <w:tc>
          <w:tcPr>
            <w:tcW w:w="5557" w:type="dxa"/>
            <w:shd w:val="clear" w:color="auto" w:fill="auto"/>
          </w:tcPr>
          <w:p w14:paraId="164DCFA1" w14:textId="77777777" w:rsidR="001A2718" w:rsidRPr="00C278CB" w:rsidRDefault="00CC7D80" w:rsidP="009339E8">
            <w:pPr>
              <w:rPr>
                <w:szCs w:val="22"/>
              </w:rPr>
            </w:pPr>
            <w:r>
              <w:rPr>
                <w:szCs w:val="22"/>
              </w:rPr>
              <w:t>Thriving communities</w:t>
            </w:r>
          </w:p>
          <w:p w14:paraId="164DCFA2" w14:textId="77777777" w:rsidR="001A2718" w:rsidRPr="00C278CB" w:rsidRDefault="00FA5607" w:rsidP="009339E8">
            <w:pPr>
              <w:rPr>
                <w:szCs w:val="22"/>
              </w:rPr>
            </w:pPr>
          </w:p>
        </w:tc>
        <w:tc>
          <w:tcPr>
            <w:tcW w:w="850" w:type="dxa"/>
            <w:shd w:val="clear" w:color="auto" w:fill="auto"/>
          </w:tcPr>
          <w:p w14:paraId="164DCFA3" w14:textId="77777777" w:rsidR="001A2718" w:rsidRPr="00C278CB" w:rsidRDefault="00CC7D80" w:rsidP="009339E8">
            <w:pPr>
              <w:rPr>
                <w:szCs w:val="22"/>
                <w:highlight w:val="yellow"/>
              </w:rPr>
            </w:pPr>
            <w:r>
              <w:rPr>
                <w:szCs w:val="22"/>
                <w:highlight w:val="yellow"/>
              </w:rPr>
              <w:t>X</w:t>
            </w:r>
          </w:p>
        </w:tc>
      </w:tr>
      <w:tr w:rsidR="006E68F8" w14:paraId="164DCFA8" w14:textId="77777777" w:rsidTr="009339E8">
        <w:tc>
          <w:tcPr>
            <w:tcW w:w="5557" w:type="dxa"/>
            <w:shd w:val="clear" w:color="auto" w:fill="auto"/>
          </w:tcPr>
          <w:p w14:paraId="164DCFA5" w14:textId="77777777" w:rsidR="001A2718" w:rsidRPr="00C278CB" w:rsidRDefault="00CC7D80" w:rsidP="009339E8">
            <w:pPr>
              <w:rPr>
                <w:szCs w:val="22"/>
              </w:rPr>
            </w:pPr>
            <w:r>
              <w:rPr>
                <w:szCs w:val="22"/>
              </w:rPr>
              <w:t>A fair local economy that works for everyone</w:t>
            </w:r>
          </w:p>
          <w:p w14:paraId="164DCFA6" w14:textId="77777777" w:rsidR="001A2718" w:rsidRPr="00C278CB" w:rsidRDefault="00FA5607" w:rsidP="009339E8">
            <w:pPr>
              <w:rPr>
                <w:szCs w:val="22"/>
              </w:rPr>
            </w:pPr>
          </w:p>
        </w:tc>
        <w:tc>
          <w:tcPr>
            <w:tcW w:w="850" w:type="dxa"/>
            <w:shd w:val="clear" w:color="auto" w:fill="auto"/>
          </w:tcPr>
          <w:p w14:paraId="164DCFA7" w14:textId="77777777" w:rsidR="001A2718" w:rsidRPr="00C278CB" w:rsidRDefault="00CC7D80" w:rsidP="009339E8">
            <w:pPr>
              <w:rPr>
                <w:szCs w:val="22"/>
              </w:rPr>
            </w:pPr>
            <w:r>
              <w:rPr>
                <w:szCs w:val="22"/>
              </w:rPr>
              <w:t>X</w:t>
            </w:r>
          </w:p>
        </w:tc>
      </w:tr>
      <w:tr w:rsidR="006E68F8" w14:paraId="164DCFAB" w14:textId="77777777" w:rsidTr="009339E8">
        <w:tc>
          <w:tcPr>
            <w:tcW w:w="5557" w:type="dxa"/>
            <w:shd w:val="clear" w:color="auto" w:fill="auto"/>
          </w:tcPr>
          <w:p w14:paraId="164DCFA9" w14:textId="77777777" w:rsidR="001A2718" w:rsidRDefault="00CC7D80" w:rsidP="009339E8">
            <w:pPr>
              <w:spacing w:after="240"/>
              <w:rPr>
                <w:szCs w:val="22"/>
              </w:rPr>
            </w:pPr>
            <w:r>
              <w:rPr>
                <w:szCs w:val="22"/>
              </w:rPr>
              <w:t>Good homes, green spaces, healthy places</w:t>
            </w:r>
          </w:p>
        </w:tc>
        <w:tc>
          <w:tcPr>
            <w:tcW w:w="850" w:type="dxa"/>
            <w:shd w:val="clear" w:color="auto" w:fill="auto"/>
          </w:tcPr>
          <w:p w14:paraId="164DCFAA" w14:textId="77777777" w:rsidR="001A2718" w:rsidRPr="00C278CB" w:rsidRDefault="00CC7D80" w:rsidP="009339E8">
            <w:pPr>
              <w:rPr>
                <w:szCs w:val="22"/>
              </w:rPr>
            </w:pPr>
            <w:r>
              <w:rPr>
                <w:szCs w:val="22"/>
              </w:rPr>
              <w:t>X</w:t>
            </w:r>
          </w:p>
        </w:tc>
      </w:tr>
    </w:tbl>
    <w:p w14:paraId="164DCFAC" w14:textId="77777777" w:rsidR="001A2718" w:rsidRPr="00C278CB" w:rsidRDefault="00FA5607" w:rsidP="001A2718"/>
    <w:p w14:paraId="164DCFAD" w14:textId="77777777" w:rsidR="001A2718" w:rsidRPr="00C278CB" w:rsidRDefault="00FA5607" w:rsidP="001A2718"/>
    <w:p w14:paraId="164DCFAE" w14:textId="77777777" w:rsidR="001A2718" w:rsidRPr="00C278CB" w:rsidRDefault="00FA5607" w:rsidP="001A2718">
      <w:pPr>
        <w:rPr>
          <w:szCs w:val="22"/>
        </w:rPr>
      </w:pPr>
    </w:p>
    <w:p w14:paraId="223DC451" w14:textId="77777777" w:rsidR="00FA5607" w:rsidRDefault="00FA5607" w:rsidP="001A2718">
      <w:pPr>
        <w:tabs>
          <w:tab w:val="left" w:pos="567"/>
        </w:tabs>
        <w:ind w:left="567" w:hanging="567"/>
        <w:rPr>
          <w:b/>
          <w:szCs w:val="22"/>
        </w:rPr>
      </w:pPr>
    </w:p>
    <w:p w14:paraId="5F56819C" w14:textId="77777777" w:rsidR="00FA5607" w:rsidRDefault="00FA5607" w:rsidP="001A2718">
      <w:pPr>
        <w:tabs>
          <w:tab w:val="left" w:pos="567"/>
        </w:tabs>
        <w:ind w:left="567" w:hanging="567"/>
        <w:rPr>
          <w:b/>
          <w:szCs w:val="22"/>
        </w:rPr>
      </w:pPr>
    </w:p>
    <w:p w14:paraId="164DCFAF" w14:textId="36A126B3" w:rsidR="001A2718" w:rsidRPr="00C278CB" w:rsidRDefault="00CC7D80" w:rsidP="001A2718">
      <w:pPr>
        <w:tabs>
          <w:tab w:val="left" w:pos="567"/>
        </w:tabs>
        <w:ind w:left="567" w:hanging="567"/>
        <w:rPr>
          <w:b/>
          <w:szCs w:val="22"/>
        </w:rPr>
      </w:pPr>
      <w:r w:rsidRPr="00C278CB">
        <w:rPr>
          <w:b/>
          <w:szCs w:val="22"/>
        </w:rPr>
        <w:lastRenderedPageBreak/>
        <w:t>BACKGROUND TO THE REPORT</w:t>
      </w:r>
    </w:p>
    <w:p w14:paraId="164DCFB0" w14:textId="77777777" w:rsidR="001A2718" w:rsidRPr="00C278CB" w:rsidRDefault="00FA5607" w:rsidP="001A2718">
      <w:pPr>
        <w:tabs>
          <w:tab w:val="left" w:pos="567"/>
        </w:tabs>
        <w:ind w:left="567" w:hanging="567"/>
        <w:rPr>
          <w:b/>
          <w:szCs w:val="22"/>
        </w:rPr>
      </w:pPr>
    </w:p>
    <w:p w14:paraId="164DCFB1" w14:textId="77777777" w:rsidR="001A2718" w:rsidRPr="00837C07" w:rsidRDefault="00CC7D80" w:rsidP="001A2718">
      <w:pPr>
        <w:pStyle w:val="ListParagraph"/>
        <w:numPr>
          <w:ilvl w:val="0"/>
          <w:numId w:val="17"/>
        </w:numPr>
        <w:tabs>
          <w:tab w:val="left" w:pos="567"/>
        </w:tabs>
        <w:ind w:left="360"/>
      </w:pPr>
      <w:r w:rsidRPr="006C4B40">
        <w:t>An application was submitted on the</w:t>
      </w:r>
      <w:r>
        <w:t xml:space="preserve"> 30</w:t>
      </w:r>
      <w:r w:rsidRPr="00837C07">
        <w:rPr>
          <w:vertAlign w:val="superscript"/>
        </w:rPr>
        <w:t>th</w:t>
      </w:r>
      <w:r>
        <w:t xml:space="preserve"> September 2020 with a representation start date of</w:t>
      </w:r>
      <w:r w:rsidRPr="006C4B40">
        <w:t xml:space="preserve"> </w:t>
      </w:r>
      <w:r>
        <w:t>2nd</w:t>
      </w:r>
      <w:r w:rsidRPr="006C4B40">
        <w:t xml:space="preserve"> October 20</w:t>
      </w:r>
      <w:r>
        <w:t>20</w:t>
      </w:r>
      <w:r w:rsidRPr="006C4B40">
        <w:t xml:space="preserve"> by </w:t>
      </w:r>
      <w:r>
        <w:t>Tesco Stores LTD</w:t>
      </w:r>
      <w:r w:rsidRPr="006C4B40">
        <w:t xml:space="preserve"> for a new Premises Licence pursuant to Section 17 of the Licensing Act 2003 for </w:t>
      </w:r>
      <w:r>
        <w:t>the Sale</w:t>
      </w:r>
      <w:r w:rsidRPr="006C4B40">
        <w:t xml:space="preserve"> of alcohol at </w:t>
      </w:r>
      <w:r w:rsidRPr="00837C07">
        <w:rPr>
          <w:bCs/>
        </w:rPr>
        <w:t>Tesco Stores Ltd, Liverpool Road, Penwortham, Preston, PR1 9XE.</w:t>
      </w:r>
    </w:p>
    <w:p w14:paraId="164DCFB2" w14:textId="77777777" w:rsidR="001A2718" w:rsidRPr="00837C07" w:rsidRDefault="00CC7D80" w:rsidP="001A2718">
      <w:pPr>
        <w:pStyle w:val="ListParagraph"/>
        <w:tabs>
          <w:tab w:val="left" w:pos="567"/>
        </w:tabs>
        <w:ind w:left="360"/>
      </w:pPr>
      <w:r>
        <w:rPr>
          <w:b/>
          <w:bCs/>
          <w:sz w:val="28"/>
          <w:szCs w:val="28"/>
        </w:rPr>
        <w:t xml:space="preserve"> </w:t>
      </w:r>
    </w:p>
    <w:p w14:paraId="164DCFB3" w14:textId="77777777" w:rsidR="001A2718" w:rsidRPr="00960929" w:rsidRDefault="00CC7D80" w:rsidP="001A2718">
      <w:pPr>
        <w:pStyle w:val="ListParagraph"/>
        <w:numPr>
          <w:ilvl w:val="0"/>
          <w:numId w:val="17"/>
        </w:numPr>
        <w:tabs>
          <w:tab w:val="left" w:pos="567"/>
        </w:tabs>
        <w:ind w:left="360"/>
      </w:pPr>
      <w:r w:rsidRPr="001E5C13">
        <w:rPr>
          <w:rFonts w:cs="Arial"/>
          <w:lang w:val="en"/>
        </w:rPr>
        <w:t>The Applicant seeks permission to sell alcohol by retail between the hours of 00:00 to 00:00 Monday to Sunday</w:t>
      </w:r>
      <w:r>
        <w:rPr>
          <w:rFonts w:cs="Arial"/>
          <w:lang w:val="en"/>
        </w:rPr>
        <w:t xml:space="preserve"> for off sales only. A</w:t>
      </w:r>
      <w:r w:rsidRPr="001E5C13">
        <w:rPr>
          <w:lang w:val="en"/>
        </w:rPr>
        <w:t>lcohol may be bought on the licensed premises, but must be consumed</w:t>
      </w:r>
      <w:r>
        <w:rPr>
          <w:lang w:val="en"/>
        </w:rPr>
        <w:t xml:space="preserve"> off</w:t>
      </w:r>
      <w:r w:rsidRPr="001E5C13">
        <w:rPr>
          <w:lang w:val="en"/>
        </w:rPr>
        <w:t xml:space="preserve"> the premises. </w:t>
      </w:r>
    </w:p>
    <w:p w14:paraId="164DCFB4" w14:textId="77777777" w:rsidR="001A2718" w:rsidRDefault="00FA5607" w:rsidP="001A2718">
      <w:pPr>
        <w:pStyle w:val="ListParagraph"/>
      </w:pPr>
    </w:p>
    <w:p w14:paraId="164DCFB5" w14:textId="5CD661EF" w:rsidR="001A2718" w:rsidRPr="009A7AC6" w:rsidRDefault="00CC7D80" w:rsidP="001A2718">
      <w:pPr>
        <w:pStyle w:val="ListParagraph"/>
        <w:numPr>
          <w:ilvl w:val="0"/>
          <w:numId w:val="17"/>
        </w:numPr>
        <w:tabs>
          <w:tab w:val="left" w:pos="567"/>
        </w:tabs>
        <w:ind w:left="360"/>
      </w:pPr>
      <w:r>
        <w:t xml:space="preserve">The Proposed Opening Hours of the premises are </w:t>
      </w:r>
      <w:r>
        <w:rPr>
          <w:rFonts w:cs="Arial"/>
          <w:lang w:val="en"/>
        </w:rPr>
        <w:t>24 hours-</w:t>
      </w:r>
      <w:r w:rsidRPr="00960929">
        <w:rPr>
          <w:rFonts w:cs="Arial"/>
          <w:lang w:val="en"/>
        </w:rPr>
        <w:t xml:space="preserve"> Monday to Sunday. </w:t>
      </w:r>
    </w:p>
    <w:p w14:paraId="164DCFB6" w14:textId="77777777" w:rsidR="001A2718" w:rsidRDefault="00FA5607" w:rsidP="001A2718">
      <w:pPr>
        <w:pStyle w:val="ListParagraph"/>
      </w:pPr>
    </w:p>
    <w:p w14:paraId="164DCFB7" w14:textId="77777777" w:rsidR="001A2718" w:rsidRDefault="00CC7D80" w:rsidP="001A2718">
      <w:pPr>
        <w:pStyle w:val="ListParagraph"/>
        <w:numPr>
          <w:ilvl w:val="0"/>
          <w:numId w:val="17"/>
        </w:numPr>
        <w:tabs>
          <w:tab w:val="left" w:pos="567"/>
        </w:tabs>
        <w:ind w:left="360"/>
      </w:pPr>
      <w:r>
        <w:t xml:space="preserve">The Premises will consist of a brand-new supermarket on the proposed site off Liverpool Road, Penwortham, that is currently under construction work.  Please see Background Document 1 for the application form and background document 2 for the plan of the premises attached to this report. </w:t>
      </w:r>
    </w:p>
    <w:p w14:paraId="4FD42556" w14:textId="77777777" w:rsidR="00FA5607" w:rsidRDefault="00FA5607" w:rsidP="001A2718">
      <w:pPr>
        <w:tabs>
          <w:tab w:val="left" w:pos="567"/>
        </w:tabs>
        <w:rPr>
          <w:b/>
        </w:rPr>
      </w:pPr>
    </w:p>
    <w:p w14:paraId="164DCFB8" w14:textId="14B71CAF" w:rsidR="001A2718" w:rsidRDefault="00CC7D80" w:rsidP="001A2718">
      <w:pPr>
        <w:tabs>
          <w:tab w:val="left" w:pos="567"/>
        </w:tabs>
        <w:rPr>
          <w:b/>
        </w:rPr>
      </w:pPr>
      <w:r w:rsidRPr="00591918">
        <w:rPr>
          <w:b/>
        </w:rPr>
        <w:t>REPRESENTATIONS FROM RESPONSIBLE AUTHORITIES</w:t>
      </w:r>
    </w:p>
    <w:p w14:paraId="164DCFB9" w14:textId="77777777" w:rsidR="001A2718" w:rsidRPr="0033591E" w:rsidRDefault="00FA5607" w:rsidP="001A2718">
      <w:pPr>
        <w:tabs>
          <w:tab w:val="left" w:pos="567"/>
        </w:tabs>
        <w:rPr>
          <w:b/>
        </w:rPr>
      </w:pPr>
      <w:bookmarkStart w:id="0" w:name="_Hlk55293680"/>
    </w:p>
    <w:p w14:paraId="164DCFBA" w14:textId="77777777" w:rsidR="001A2718" w:rsidRPr="00E53D90" w:rsidRDefault="00CC7D80" w:rsidP="001A2718">
      <w:pPr>
        <w:pStyle w:val="ListParagraph"/>
        <w:numPr>
          <w:ilvl w:val="0"/>
          <w:numId w:val="17"/>
        </w:numPr>
        <w:tabs>
          <w:tab w:val="left" w:pos="567"/>
        </w:tabs>
        <w:ind w:left="360"/>
        <w:rPr>
          <w:b/>
        </w:rPr>
      </w:pPr>
      <w:r w:rsidRPr="00E53D90">
        <w:t xml:space="preserve">Responsible Authorities are deemed to be experts in relation to identifying if a new proposed premises would undermine one of the 4 Licensing Objectives which include Public Nuisance, Prevention of Crime &amp; Disorder, Protection of Children from harm and Public Safety. </w:t>
      </w:r>
    </w:p>
    <w:p w14:paraId="164DCFBB" w14:textId="77777777" w:rsidR="001A2718" w:rsidRPr="00F96970" w:rsidRDefault="00FA5607" w:rsidP="001A2718">
      <w:pPr>
        <w:pStyle w:val="ListParagraph"/>
        <w:tabs>
          <w:tab w:val="left" w:pos="567"/>
        </w:tabs>
        <w:ind w:left="360"/>
        <w:rPr>
          <w:b/>
          <w:color w:val="FF0000"/>
        </w:rPr>
      </w:pPr>
    </w:p>
    <w:p w14:paraId="164DCFBC" w14:textId="77777777" w:rsidR="001A2718" w:rsidRPr="00F96970" w:rsidRDefault="00CC7D80" w:rsidP="001A2718">
      <w:pPr>
        <w:pStyle w:val="ListParagraph"/>
        <w:numPr>
          <w:ilvl w:val="0"/>
          <w:numId w:val="17"/>
        </w:numPr>
        <w:tabs>
          <w:tab w:val="left" w:pos="567"/>
        </w:tabs>
        <w:ind w:left="360"/>
        <w:rPr>
          <w:b/>
          <w:color w:val="FF0000"/>
        </w:rPr>
      </w:pPr>
      <w:r>
        <w:t>All Responsible A</w:t>
      </w:r>
      <w:r w:rsidRPr="005A5ADD">
        <w:t>uthorities were consulted</w:t>
      </w:r>
      <w:r>
        <w:t xml:space="preserve"> by the Licensing Authority</w:t>
      </w:r>
      <w:r w:rsidRPr="005A5ADD">
        <w:t xml:space="preserve">. </w:t>
      </w:r>
      <w:r>
        <w:t xml:space="preserve">No representations have been made by any Responsible Authority. </w:t>
      </w:r>
    </w:p>
    <w:p w14:paraId="164DCFBD" w14:textId="77777777" w:rsidR="001A2718" w:rsidRPr="00F57B9D" w:rsidRDefault="00FA5607" w:rsidP="001A2718">
      <w:pPr>
        <w:pStyle w:val="ListParagraph"/>
        <w:tabs>
          <w:tab w:val="left" w:pos="567"/>
        </w:tabs>
        <w:ind w:left="360"/>
        <w:rPr>
          <w:b/>
        </w:rPr>
      </w:pPr>
    </w:p>
    <w:p w14:paraId="164DCFBE" w14:textId="77777777" w:rsidR="001A2718" w:rsidRPr="00F57B9D" w:rsidRDefault="00CC7D80" w:rsidP="001A2718">
      <w:pPr>
        <w:pStyle w:val="ListParagraph"/>
        <w:numPr>
          <w:ilvl w:val="0"/>
          <w:numId w:val="17"/>
        </w:numPr>
        <w:tabs>
          <w:tab w:val="left" w:pos="567"/>
        </w:tabs>
        <w:ind w:left="360"/>
        <w:rPr>
          <w:b/>
        </w:rPr>
      </w:pPr>
      <w:r>
        <w:t xml:space="preserve">Conditions have been agreed between the applicants and the police with regards to Under age sales, challenge 25 Polices and sale of alcohol to intoxicated people, all staff are required to receive staff training on these issues. This can be found within appendix 1 of the report. </w:t>
      </w:r>
      <w:bookmarkEnd w:id="0"/>
    </w:p>
    <w:p w14:paraId="164DCFBF" w14:textId="77777777" w:rsidR="001A2718" w:rsidRDefault="00FA5607" w:rsidP="001A2718">
      <w:pPr>
        <w:tabs>
          <w:tab w:val="left" w:pos="567"/>
        </w:tabs>
        <w:rPr>
          <w:b/>
        </w:rPr>
      </w:pPr>
    </w:p>
    <w:p w14:paraId="164DCFC0" w14:textId="77777777" w:rsidR="001A2718" w:rsidRPr="00E53D90" w:rsidRDefault="00CC7D80" w:rsidP="001A2718">
      <w:pPr>
        <w:tabs>
          <w:tab w:val="left" w:pos="567"/>
        </w:tabs>
        <w:rPr>
          <w:b/>
        </w:rPr>
      </w:pPr>
      <w:r w:rsidRPr="00E53D90">
        <w:rPr>
          <w:b/>
        </w:rPr>
        <w:t xml:space="preserve">REPRESENTATIONS FROM OTHER INTERESTED PARTIES   </w:t>
      </w:r>
    </w:p>
    <w:p w14:paraId="164DCFC1" w14:textId="77777777" w:rsidR="001A2718" w:rsidRDefault="00CC7D80" w:rsidP="001A2718">
      <w:pPr>
        <w:tabs>
          <w:tab w:val="left" w:pos="567"/>
        </w:tabs>
        <w:rPr>
          <w:b/>
        </w:rPr>
      </w:pPr>
      <w:r>
        <w:rPr>
          <w:b/>
        </w:rPr>
        <w:tab/>
      </w:r>
    </w:p>
    <w:p w14:paraId="164DCFC2" w14:textId="77777777" w:rsidR="00FA2DB8" w:rsidRDefault="00CC7D80" w:rsidP="001A2718">
      <w:pPr>
        <w:pStyle w:val="ListParagraph"/>
        <w:numPr>
          <w:ilvl w:val="0"/>
          <w:numId w:val="17"/>
        </w:numPr>
        <w:tabs>
          <w:tab w:val="left" w:pos="567"/>
        </w:tabs>
        <w:ind w:left="360"/>
      </w:pPr>
      <w:r>
        <w:t>4 written</w:t>
      </w:r>
      <w:r w:rsidRPr="005C798D">
        <w:t xml:space="preserve"> representations</w:t>
      </w:r>
      <w:r>
        <w:t xml:space="preserve"> from members of the public were received by the licensing authority opposing granting the premises a licence. </w:t>
      </w:r>
    </w:p>
    <w:p w14:paraId="164DCFC3" w14:textId="77777777" w:rsidR="00FA2DB8" w:rsidRDefault="00FA5607" w:rsidP="00FA2DB8">
      <w:pPr>
        <w:pStyle w:val="ListParagraph"/>
        <w:tabs>
          <w:tab w:val="left" w:pos="567"/>
        </w:tabs>
        <w:ind w:left="360"/>
      </w:pPr>
    </w:p>
    <w:p w14:paraId="164DCFC4" w14:textId="2777F35B" w:rsidR="001A2718" w:rsidRDefault="00CC7D80" w:rsidP="001A2718">
      <w:pPr>
        <w:pStyle w:val="ListParagraph"/>
        <w:numPr>
          <w:ilvl w:val="0"/>
          <w:numId w:val="17"/>
        </w:numPr>
        <w:tabs>
          <w:tab w:val="left" w:pos="567"/>
        </w:tabs>
        <w:ind w:left="360"/>
      </w:pPr>
      <w:r>
        <w:t xml:space="preserve">A representation is not relevant if it does not directly relate to one or more of the 4 licensing objectives. Representations that are categorised as vexatious or frivolous would not be taken into account. </w:t>
      </w:r>
    </w:p>
    <w:p w14:paraId="164DCFC5" w14:textId="77777777" w:rsidR="001A2718" w:rsidRDefault="00FA5607" w:rsidP="001A2718">
      <w:pPr>
        <w:pStyle w:val="ListParagraph"/>
        <w:tabs>
          <w:tab w:val="left" w:pos="567"/>
        </w:tabs>
        <w:ind w:left="360"/>
      </w:pPr>
    </w:p>
    <w:p w14:paraId="164DCFC6" w14:textId="77777777" w:rsidR="00FA2DB8" w:rsidRDefault="00CC7D80" w:rsidP="00FA2DB8">
      <w:pPr>
        <w:pStyle w:val="ListParagraph"/>
        <w:numPr>
          <w:ilvl w:val="0"/>
          <w:numId w:val="17"/>
        </w:numPr>
        <w:tabs>
          <w:tab w:val="left" w:pos="567"/>
        </w:tabs>
        <w:ind w:left="360"/>
      </w:pPr>
      <w:r>
        <w:t xml:space="preserve">Two of the representation raised were deemed relevant by officers of the Licensing Authority. Those representations stated that if the premises licence was granted, the premises would be undermining the </w:t>
      </w:r>
      <w:r w:rsidRPr="005C798D">
        <w:t>Prevention of Public Nuisance and the Prevention of Crime and Disorder</w:t>
      </w:r>
      <w:r>
        <w:t xml:space="preserve"> objectives, in the opinion of the members of public making those representations. </w:t>
      </w:r>
    </w:p>
    <w:p w14:paraId="164DCFC7" w14:textId="77777777" w:rsidR="001A2718" w:rsidRDefault="00FA5607" w:rsidP="001A2718">
      <w:pPr>
        <w:pStyle w:val="ListParagraph"/>
        <w:tabs>
          <w:tab w:val="left" w:pos="567"/>
        </w:tabs>
        <w:ind w:left="360"/>
      </w:pPr>
    </w:p>
    <w:p w14:paraId="164DCFC8" w14:textId="77777777" w:rsidR="001A2718" w:rsidRDefault="00CC7D80" w:rsidP="001A2718">
      <w:pPr>
        <w:pStyle w:val="ListParagraph"/>
        <w:numPr>
          <w:ilvl w:val="0"/>
          <w:numId w:val="17"/>
        </w:numPr>
        <w:tabs>
          <w:tab w:val="left" w:pos="567"/>
        </w:tabs>
        <w:ind w:left="360"/>
      </w:pPr>
      <w:r>
        <w:t xml:space="preserve">Where relevant representation are received the licensing authority must hold a hearing. Copies of the relevant representation can be found attached to this report as Appendix 2 and Appendix 3. </w:t>
      </w:r>
    </w:p>
    <w:p w14:paraId="164DCFC9" w14:textId="77777777" w:rsidR="001A2718" w:rsidRPr="00837C07" w:rsidRDefault="00FA5607" w:rsidP="001A2718">
      <w:pPr>
        <w:pStyle w:val="ListParagraph"/>
        <w:tabs>
          <w:tab w:val="left" w:pos="567"/>
        </w:tabs>
        <w:ind w:left="360"/>
      </w:pPr>
    </w:p>
    <w:p w14:paraId="164DCFCA" w14:textId="77777777" w:rsidR="001A2718" w:rsidRPr="00C278CB" w:rsidRDefault="00FA5607" w:rsidP="001A2718">
      <w:pPr>
        <w:tabs>
          <w:tab w:val="left" w:pos="567"/>
        </w:tabs>
        <w:ind w:left="567" w:hanging="567"/>
        <w:rPr>
          <w:i/>
          <w:szCs w:val="22"/>
        </w:rPr>
      </w:pPr>
    </w:p>
    <w:p w14:paraId="30A9A727" w14:textId="77777777" w:rsidR="00FA5607" w:rsidRDefault="00FA5607" w:rsidP="001A2718">
      <w:pPr>
        <w:tabs>
          <w:tab w:val="left" w:pos="567"/>
        </w:tabs>
        <w:ind w:left="567" w:hanging="567"/>
        <w:rPr>
          <w:b/>
          <w:szCs w:val="22"/>
        </w:rPr>
      </w:pPr>
    </w:p>
    <w:p w14:paraId="164DCFCB" w14:textId="777E421B" w:rsidR="001A2718" w:rsidRPr="00C278CB" w:rsidRDefault="00CC7D80" w:rsidP="001A2718">
      <w:pPr>
        <w:tabs>
          <w:tab w:val="left" w:pos="567"/>
        </w:tabs>
        <w:ind w:left="567" w:hanging="567"/>
        <w:rPr>
          <w:b/>
          <w:szCs w:val="22"/>
        </w:rPr>
      </w:pPr>
      <w:r w:rsidRPr="00C278CB">
        <w:rPr>
          <w:b/>
          <w:szCs w:val="22"/>
        </w:rPr>
        <w:lastRenderedPageBreak/>
        <w:t xml:space="preserve">PROPOSALS </w:t>
      </w:r>
    </w:p>
    <w:p w14:paraId="164DCFCC" w14:textId="77777777" w:rsidR="001A2718" w:rsidRPr="00C278CB" w:rsidRDefault="00FA5607" w:rsidP="001A2718">
      <w:pPr>
        <w:tabs>
          <w:tab w:val="left" w:pos="567"/>
        </w:tabs>
        <w:ind w:left="567" w:hanging="567"/>
        <w:rPr>
          <w:b/>
          <w:szCs w:val="22"/>
        </w:rPr>
      </w:pPr>
    </w:p>
    <w:p w14:paraId="164DCFCD" w14:textId="77777777" w:rsidR="001A2718" w:rsidRDefault="00FA5607" w:rsidP="001A2718">
      <w:pPr>
        <w:tabs>
          <w:tab w:val="left" w:pos="567"/>
        </w:tabs>
        <w:rPr>
          <w:b/>
          <w:szCs w:val="22"/>
        </w:rPr>
      </w:pPr>
    </w:p>
    <w:p w14:paraId="164DCFCE" w14:textId="77777777" w:rsidR="001A2718" w:rsidRDefault="00CC7D80" w:rsidP="001A2718">
      <w:pPr>
        <w:pStyle w:val="ListParagraph"/>
        <w:numPr>
          <w:ilvl w:val="0"/>
          <w:numId w:val="17"/>
        </w:numPr>
        <w:tabs>
          <w:tab w:val="left" w:pos="567"/>
        </w:tabs>
        <w:ind w:left="360"/>
      </w:pPr>
      <w:r w:rsidRPr="00285837">
        <w:t xml:space="preserve">The </w:t>
      </w:r>
      <w:r>
        <w:t xml:space="preserve">Licensing Panel are asked to determine the application under section 18 of the Licensing Act 2003. </w:t>
      </w:r>
    </w:p>
    <w:p w14:paraId="164DCFCF" w14:textId="77777777" w:rsidR="001A2718" w:rsidRDefault="00FA5607" w:rsidP="001A2718">
      <w:pPr>
        <w:tabs>
          <w:tab w:val="left" w:pos="567"/>
        </w:tabs>
      </w:pPr>
    </w:p>
    <w:p w14:paraId="164DCFD0" w14:textId="77777777" w:rsidR="001A2718" w:rsidRDefault="00CC7D80" w:rsidP="00306164">
      <w:pPr>
        <w:pStyle w:val="ListParagraph"/>
        <w:numPr>
          <w:ilvl w:val="0"/>
          <w:numId w:val="17"/>
        </w:numPr>
        <w:tabs>
          <w:tab w:val="left" w:pos="567"/>
        </w:tabs>
        <w:ind w:left="360"/>
      </w:pPr>
      <w:r>
        <w:t xml:space="preserve">Section 18 of the Licensing Act 2003 sets out the steps that can be taken, which are; </w:t>
      </w:r>
    </w:p>
    <w:p w14:paraId="164DCFD1" w14:textId="77777777" w:rsidR="001A2718" w:rsidRDefault="00FA5607" w:rsidP="004F2044">
      <w:pPr>
        <w:tabs>
          <w:tab w:val="left" w:pos="567"/>
        </w:tabs>
      </w:pPr>
    </w:p>
    <w:p w14:paraId="164DCFD2" w14:textId="77777777" w:rsidR="001A2718" w:rsidRDefault="00CC7D80" w:rsidP="00306164">
      <w:pPr>
        <w:pStyle w:val="ListParagraph"/>
        <w:numPr>
          <w:ilvl w:val="0"/>
          <w:numId w:val="17"/>
        </w:numPr>
        <w:tabs>
          <w:tab w:val="left" w:pos="567"/>
        </w:tabs>
        <w:ind w:left="340"/>
      </w:pPr>
      <w:r>
        <w:t xml:space="preserve">To grant the Premises Licence subject to any conditions the Licensing Authority considers appropriate for the promotion of the Licensing Objectives.  </w:t>
      </w:r>
    </w:p>
    <w:p w14:paraId="164DCFD3" w14:textId="77777777" w:rsidR="001A2718" w:rsidRDefault="00FA5607" w:rsidP="00306164">
      <w:pPr>
        <w:tabs>
          <w:tab w:val="left" w:pos="567"/>
        </w:tabs>
        <w:ind w:left="340"/>
      </w:pPr>
    </w:p>
    <w:p w14:paraId="164DCFD4" w14:textId="77777777" w:rsidR="001A2718" w:rsidRDefault="00CC7D80" w:rsidP="00306164">
      <w:pPr>
        <w:pStyle w:val="ListParagraph"/>
        <w:numPr>
          <w:ilvl w:val="0"/>
          <w:numId w:val="17"/>
        </w:numPr>
        <w:tabs>
          <w:tab w:val="left" w:pos="567"/>
        </w:tabs>
        <w:ind w:left="340"/>
      </w:pPr>
      <w:r>
        <w:t xml:space="preserve">To exclude </w:t>
      </w:r>
      <w:r w:rsidRPr="008879F4">
        <w:t xml:space="preserve">from the scope of the licence any licensable activities </w:t>
      </w:r>
      <w:r>
        <w:t xml:space="preserve">to which the application relates. </w:t>
      </w:r>
    </w:p>
    <w:p w14:paraId="164DCFD5" w14:textId="77777777" w:rsidR="001A2718" w:rsidRDefault="00FA5607" w:rsidP="00306164">
      <w:pPr>
        <w:tabs>
          <w:tab w:val="left" w:pos="567"/>
        </w:tabs>
        <w:ind w:left="340"/>
      </w:pPr>
    </w:p>
    <w:p w14:paraId="164DCFD6" w14:textId="77777777" w:rsidR="001A2718" w:rsidRDefault="00CC7D80" w:rsidP="00306164">
      <w:pPr>
        <w:pStyle w:val="ListParagraph"/>
        <w:numPr>
          <w:ilvl w:val="0"/>
          <w:numId w:val="17"/>
        </w:numPr>
        <w:tabs>
          <w:tab w:val="left" w:pos="567"/>
        </w:tabs>
        <w:ind w:left="340"/>
      </w:pPr>
      <w:r>
        <w:t xml:space="preserve">To refuse </w:t>
      </w:r>
      <w:r w:rsidRPr="008879F4">
        <w:t>to specify a person in the licence the premises supervisor; or</w:t>
      </w:r>
    </w:p>
    <w:p w14:paraId="164DCFD7" w14:textId="77777777" w:rsidR="001A2718" w:rsidRDefault="00FA5607" w:rsidP="00306164">
      <w:pPr>
        <w:tabs>
          <w:tab w:val="left" w:pos="567"/>
        </w:tabs>
        <w:ind w:left="340"/>
      </w:pPr>
    </w:p>
    <w:p w14:paraId="164DCFD8" w14:textId="77777777" w:rsidR="001A2718" w:rsidRDefault="00CC7D80" w:rsidP="00306164">
      <w:pPr>
        <w:pStyle w:val="ListParagraph"/>
        <w:numPr>
          <w:ilvl w:val="0"/>
          <w:numId w:val="17"/>
        </w:numPr>
        <w:tabs>
          <w:tab w:val="left" w:pos="567"/>
        </w:tabs>
        <w:ind w:left="340"/>
      </w:pPr>
      <w:r>
        <w:t xml:space="preserve">To reject the application. </w:t>
      </w:r>
    </w:p>
    <w:p w14:paraId="164DCFD9" w14:textId="77777777" w:rsidR="001A2718" w:rsidRDefault="00FA5607" w:rsidP="00306164">
      <w:pPr>
        <w:tabs>
          <w:tab w:val="left" w:pos="567"/>
        </w:tabs>
        <w:ind w:left="340"/>
      </w:pPr>
    </w:p>
    <w:p w14:paraId="164DCFDA" w14:textId="77777777" w:rsidR="001A2718" w:rsidRDefault="00CC7D80" w:rsidP="00306164">
      <w:pPr>
        <w:pStyle w:val="ListParagraph"/>
        <w:numPr>
          <w:ilvl w:val="0"/>
          <w:numId w:val="17"/>
        </w:numPr>
        <w:tabs>
          <w:tab w:val="left" w:pos="567"/>
        </w:tabs>
        <w:ind w:left="360"/>
      </w:pPr>
      <w:r>
        <w:t xml:space="preserve">A licensing </w:t>
      </w:r>
      <w:r w:rsidRPr="008879F4">
        <w:t>authority must carry out its functions under the Act (licensing functions) with a view to promoting the licensing objectives.</w:t>
      </w:r>
      <w:r>
        <w:t xml:space="preserve"> </w:t>
      </w:r>
      <w:r w:rsidRPr="008879F4">
        <w:t>In carrying out its functions, a licensing authorit</w:t>
      </w:r>
      <w:r>
        <w:t>y must also have regard to;</w:t>
      </w:r>
    </w:p>
    <w:p w14:paraId="164DCFDB" w14:textId="77777777" w:rsidR="001A2718" w:rsidRDefault="00FA5607" w:rsidP="00306164">
      <w:pPr>
        <w:tabs>
          <w:tab w:val="left" w:pos="567"/>
        </w:tabs>
        <w:ind w:left="340"/>
      </w:pPr>
    </w:p>
    <w:p w14:paraId="164DCFDC" w14:textId="77777777" w:rsidR="001A2718" w:rsidRDefault="00CC7D80" w:rsidP="00306164">
      <w:pPr>
        <w:tabs>
          <w:tab w:val="left" w:pos="567"/>
        </w:tabs>
        <w:ind w:left="340"/>
      </w:pPr>
      <w:r>
        <w:tab/>
      </w:r>
      <w:r>
        <w:tab/>
        <w:t>a) Its</w:t>
      </w:r>
      <w:r w:rsidRPr="008879F4">
        <w:t xml:space="preserve"> own statement policy published under section 5, and</w:t>
      </w:r>
    </w:p>
    <w:p w14:paraId="164DCFDD" w14:textId="77777777" w:rsidR="001A2718" w:rsidRDefault="00CC7D80" w:rsidP="00306164">
      <w:pPr>
        <w:tabs>
          <w:tab w:val="left" w:pos="567"/>
        </w:tabs>
        <w:ind w:left="340"/>
      </w:pPr>
      <w:r>
        <w:tab/>
      </w:r>
      <w:r>
        <w:tab/>
        <w:t xml:space="preserve">b) </w:t>
      </w:r>
      <w:r w:rsidRPr="008879F4">
        <w:t>Any guidance issued by the Secretary of State under section 182.</w:t>
      </w:r>
    </w:p>
    <w:p w14:paraId="164DCFDE" w14:textId="77777777" w:rsidR="001A2718" w:rsidRDefault="00FA5607" w:rsidP="00306164">
      <w:pPr>
        <w:tabs>
          <w:tab w:val="left" w:pos="567"/>
        </w:tabs>
        <w:ind w:left="340"/>
      </w:pPr>
    </w:p>
    <w:p w14:paraId="164DCFDF" w14:textId="77777777" w:rsidR="001A2718" w:rsidRDefault="00CC7D80" w:rsidP="00306164">
      <w:pPr>
        <w:pStyle w:val="ListParagraph"/>
        <w:numPr>
          <w:ilvl w:val="0"/>
          <w:numId w:val="17"/>
        </w:numPr>
        <w:tabs>
          <w:tab w:val="left" w:pos="567"/>
        </w:tabs>
        <w:ind w:left="360"/>
      </w:pPr>
      <w:r>
        <w:t>Relevant policy considerations are as follows;</w:t>
      </w:r>
    </w:p>
    <w:p w14:paraId="164DCFE0" w14:textId="77777777" w:rsidR="001A2718" w:rsidRDefault="00FA5607" w:rsidP="004F2044">
      <w:pPr>
        <w:tabs>
          <w:tab w:val="left" w:pos="567"/>
        </w:tabs>
      </w:pPr>
    </w:p>
    <w:p w14:paraId="164DCFE1" w14:textId="77777777" w:rsidR="001A2718" w:rsidRDefault="00CC7D80" w:rsidP="004F2044">
      <w:pPr>
        <w:pStyle w:val="Default"/>
        <w:rPr>
          <w:i/>
          <w:sz w:val="22"/>
          <w:szCs w:val="22"/>
        </w:rPr>
      </w:pPr>
      <w:r w:rsidRPr="00602562">
        <w:rPr>
          <w:i/>
          <w:sz w:val="22"/>
          <w:szCs w:val="22"/>
        </w:rPr>
        <w:t xml:space="preserve">12.4 In considering all licence applications, the Licensing authority will consider the adequacy of measures proposed to deal with the potential for nuisance and disorder having regard to all of the circumstances of the application, and in particular consider the following:- </w:t>
      </w:r>
    </w:p>
    <w:p w14:paraId="164DCFE2" w14:textId="77777777" w:rsidR="004F2044" w:rsidRPr="00602562" w:rsidRDefault="00FA5607" w:rsidP="004F2044">
      <w:pPr>
        <w:pStyle w:val="Default"/>
        <w:rPr>
          <w:i/>
          <w:sz w:val="22"/>
          <w:szCs w:val="22"/>
        </w:rPr>
      </w:pPr>
    </w:p>
    <w:p w14:paraId="164DCFE3" w14:textId="77777777" w:rsidR="001A2718" w:rsidRPr="00602562" w:rsidRDefault="00CC7D80" w:rsidP="004F2044">
      <w:pPr>
        <w:pStyle w:val="Default"/>
        <w:ind w:firstLine="153"/>
        <w:rPr>
          <w:i/>
          <w:sz w:val="22"/>
          <w:szCs w:val="22"/>
        </w:rPr>
      </w:pPr>
      <w:r w:rsidRPr="00602562">
        <w:rPr>
          <w:i/>
          <w:sz w:val="22"/>
          <w:szCs w:val="22"/>
        </w:rPr>
        <w:t xml:space="preserve">a. the type of activity, the number and type of customers likely to attend; </w:t>
      </w:r>
    </w:p>
    <w:p w14:paraId="164DCFE4" w14:textId="77777777" w:rsidR="001A2718" w:rsidRPr="00602562" w:rsidRDefault="00FA5607" w:rsidP="004F2044">
      <w:pPr>
        <w:pStyle w:val="Default"/>
        <w:rPr>
          <w:i/>
          <w:sz w:val="22"/>
          <w:szCs w:val="22"/>
        </w:rPr>
      </w:pPr>
    </w:p>
    <w:p w14:paraId="164DCFE5" w14:textId="77777777" w:rsidR="001A2718" w:rsidRPr="00602562" w:rsidRDefault="00CC7D80" w:rsidP="004F2044">
      <w:pPr>
        <w:pStyle w:val="Default"/>
        <w:ind w:firstLine="153"/>
        <w:rPr>
          <w:i/>
          <w:sz w:val="22"/>
          <w:szCs w:val="22"/>
        </w:rPr>
      </w:pPr>
      <w:r w:rsidRPr="00602562">
        <w:rPr>
          <w:i/>
          <w:sz w:val="22"/>
          <w:szCs w:val="22"/>
        </w:rPr>
        <w:t xml:space="preserve">b. the levels of noise likely to be generated from the premises; </w:t>
      </w:r>
    </w:p>
    <w:p w14:paraId="164DCFE6" w14:textId="77777777" w:rsidR="001A2718" w:rsidRPr="00602562" w:rsidRDefault="00FA5607" w:rsidP="004F2044">
      <w:pPr>
        <w:pStyle w:val="Default"/>
        <w:rPr>
          <w:i/>
          <w:sz w:val="22"/>
          <w:szCs w:val="22"/>
        </w:rPr>
      </w:pPr>
    </w:p>
    <w:p w14:paraId="164DCFE7" w14:textId="77777777" w:rsidR="001A2718" w:rsidRPr="00602562" w:rsidRDefault="00CC7D80" w:rsidP="004F2044">
      <w:pPr>
        <w:pStyle w:val="Default"/>
        <w:ind w:firstLine="153"/>
        <w:rPr>
          <w:i/>
          <w:sz w:val="22"/>
          <w:szCs w:val="22"/>
        </w:rPr>
      </w:pPr>
      <w:r w:rsidRPr="00602562">
        <w:rPr>
          <w:i/>
          <w:sz w:val="22"/>
          <w:szCs w:val="22"/>
        </w:rPr>
        <w:t xml:space="preserve">e. the levels of public transport accessibility for customers and the likely means of public or private transport that will be used; </w:t>
      </w:r>
    </w:p>
    <w:p w14:paraId="164DCFE8" w14:textId="77777777" w:rsidR="001A2718" w:rsidRPr="00602562" w:rsidRDefault="00FA5607" w:rsidP="004F2044">
      <w:pPr>
        <w:pStyle w:val="Default"/>
        <w:rPr>
          <w:i/>
          <w:sz w:val="22"/>
          <w:szCs w:val="22"/>
        </w:rPr>
      </w:pPr>
    </w:p>
    <w:p w14:paraId="164DCFE9" w14:textId="77777777" w:rsidR="001A2718" w:rsidRDefault="00CC7D80" w:rsidP="004F2044">
      <w:pPr>
        <w:pStyle w:val="Default"/>
        <w:ind w:firstLine="153"/>
        <w:rPr>
          <w:i/>
          <w:sz w:val="22"/>
          <w:szCs w:val="22"/>
        </w:rPr>
      </w:pPr>
      <w:r w:rsidRPr="00602562">
        <w:rPr>
          <w:i/>
          <w:sz w:val="22"/>
          <w:szCs w:val="22"/>
        </w:rPr>
        <w:t xml:space="preserve">f. means of access to the premises for customers; </w:t>
      </w:r>
    </w:p>
    <w:p w14:paraId="164DCFEA" w14:textId="77777777" w:rsidR="001A2718" w:rsidRPr="00602562" w:rsidRDefault="00FA5607" w:rsidP="004F2044">
      <w:pPr>
        <w:pStyle w:val="Default"/>
        <w:rPr>
          <w:i/>
          <w:sz w:val="22"/>
          <w:szCs w:val="22"/>
        </w:rPr>
      </w:pPr>
    </w:p>
    <w:p w14:paraId="164DCFEB" w14:textId="77777777" w:rsidR="001A2718" w:rsidRDefault="00CC7D80" w:rsidP="004F2044">
      <w:pPr>
        <w:pStyle w:val="Default"/>
        <w:ind w:left="153"/>
        <w:rPr>
          <w:i/>
          <w:sz w:val="22"/>
          <w:szCs w:val="22"/>
        </w:rPr>
      </w:pPr>
      <w:r w:rsidRPr="00602562">
        <w:rPr>
          <w:i/>
          <w:sz w:val="22"/>
          <w:szCs w:val="22"/>
        </w:rPr>
        <w:t xml:space="preserve">g. whether appropriate car parking is readily accessible to premises and whether the use/parking of vehicles would cause a demonstrable adverse impact on the amenity of residents; </w:t>
      </w:r>
    </w:p>
    <w:p w14:paraId="164DCFEC" w14:textId="77777777" w:rsidR="001A2718" w:rsidRPr="00602562" w:rsidRDefault="00FA5607" w:rsidP="004F2044">
      <w:pPr>
        <w:pStyle w:val="Default"/>
        <w:rPr>
          <w:i/>
          <w:sz w:val="22"/>
          <w:szCs w:val="22"/>
        </w:rPr>
      </w:pPr>
    </w:p>
    <w:p w14:paraId="164DCFED" w14:textId="77777777" w:rsidR="001A2718" w:rsidRDefault="00CC7D80" w:rsidP="004F2044">
      <w:pPr>
        <w:pStyle w:val="Default"/>
        <w:ind w:left="153"/>
        <w:rPr>
          <w:i/>
          <w:sz w:val="22"/>
          <w:szCs w:val="22"/>
        </w:rPr>
      </w:pPr>
      <w:r>
        <w:rPr>
          <w:i/>
          <w:sz w:val="22"/>
          <w:szCs w:val="22"/>
        </w:rPr>
        <w:t>j</w:t>
      </w:r>
      <w:r w:rsidRPr="00602562">
        <w:rPr>
          <w:i/>
          <w:sz w:val="22"/>
          <w:szCs w:val="22"/>
        </w:rPr>
        <w:t xml:space="preserve">. the steps the applicant has taken or proposes to prevent disturbance by patrons arriving at or leaving the premises; </w:t>
      </w:r>
    </w:p>
    <w:p w14:paraId="164DCFEE" w14:textId="77777777" w:rsidR="001A2718" w:rsidRPr="00602562" w:rsidRDefault="00FA5607" w:rsidP="004F2044">
      <w:pPr>
        <w:pStyle w:val="Default"/>
        <w:rPr>
          <w:i/>
          <w:sz w:val="22"/>
          <w:szCs w:val="22"/>
        </w:rPr>
      </w:pPr>
    </w:p>
    <w:p w14:paraId="164DCFEF" w14:textId="77777777" w:rsidR="001A2718" w:rsidRDefault="00CC7D80" w:rsidP="004F2044">
      <w:pPr>
        <w:pStyle w:val="Default"/>
        <w:ind w:left="153"/>
        <w:rPr>
          <w:i/>
          <w:sz w:val="22"/>
          <w:szCs w:val="22"/>
        </w:rPr>
      </w:pPr>
      <w:r>
        <w:rPr>
          <w:i/>
          <w:sz w:val="22"/>
          <w:szCs w:val="22"/>
        </w:rPr>
        <w:t>l</w:t>
      </w:r>
      <w:r w:rsidRPr="00602562">
        <w:rPr>
          <w:i/>
          <w:sz w:val="22"/>
          <w:szCs w:val="22"/>
        </w:rPr>
        <w:t xml:space="preserve">. the arrangements the applicant has made or proposes to make for security lighting at the premises, and the steps the applicant has taken or proposes to take to ensure that lighting will not cause a nuisance to residents; </w:t>
      </w:r>
    </w:p>
    <w:p w14:paraId="164DCFF0" w14:textId="77777777" w:rsidR="001A2718" w:rsidRPr="00602562" w:rsidRDefault="00FA5607" w:rsidP="004F2044">
      <w:pPr>
        <w:pStyle w:val="Default"/>
        <w:rPr>
          <w:i/>
          <w:sz w:val="22"/>
          <w:szCs w:val="22"/>
        </w:rPr>
      </w:pPr>
    </w:p>
    <w:p w14:paraId="164DCFF1" w14:textId="77777777" w:rsidR="001A2718" w:rsidRDefault="00CC7D80" w:rsidP="004F2044">
      <w:pPr>
        <w:pStyle w:val="Default"/>
        <w:ind w:firstLine="153"/>
        <w:rPr>
          <w:i/>
          <w:sz w:val="22"/>
          <w:szCs w:val="22"/>
        </w:rPr>
      </w:pPr>
      <w:r>
        <w:rPr>
          <w:i/>
          <w:sz w:val="22"/>
          <w:szCs w:val="22"/>
        </w:rPr>
        <w:t>m</w:t>
      </w:r>
      <w:r w:rsidRPr="00602562">
        <w:rPr>
          <w:i/>
          <w:sz w:val="22"/>
          <w:szCs w:val="22"/>
        </w:rPr>
        <w:t xml:space="preserve">. whether routes to and from the premises pass residential premises; </w:t>
      </w:r>
    </w:p>
    <w:p w14:paraId="164DCFF2" w14:textId="77777777" w:rsidR="001A2718" w:rsidRPr="00602562" w:rsidRDefault="00FA5607" w:rsidP="004F2044">
      <w:pPr>
        <w:pStyle w:val="Default"/>
        <w:rPr>
          <w:i/>
          <w:sz w:val="22"/>
          <w:szCs w:val="22"/>
        </w:rPr>
      </w:pPr>
    </w:p>
    <w:p w14:paraId="164DCFF3" w14:textId="77777777" w:rsidR="001A2718" w:rsidRPr="00602562" w:rsidRDefault="00CC7D80" w:rsidP="004F2044">
      <w:pPr>
        <w:pStyle w:val="Default"/>
        <w:ind w:left="153"/>
        <w:rPr>
          <w:i/>
          <w:sz w:val="22"/>
          <w:szCs w:val="22"/>
        </w:rPr>
      </w:pPr>
      <w:r>
        <w:rPr>
          <w:i/>
          <w:sz w:val="22"/>
          <w:szCs w:val="22"/>
        </w:rPr>
        <w:t>n</w:t>
      </w:r>
      <w:r w:rsidRPr="00602562">
        <w:rPr>
          <w:i/>
          <w:sz w:val="22"/>
          <w:szCs w:val="22"/>
        </w:rPr>
        <w:t xml:space="preserve">. whether the premises would result in increased refuse storage or disposal problems or additional litter in the vicinity of the premises. </w:t>
      </w:r>
    </w:p>
    <w:p w14:paraId="164DCFF4" w14:textId="77777777" w:rsidR="001A2718" w:rsidRPr="00602562" w:rsidRDefault="00FA5607" w:rsidP="004F2044">
      <w:pPr>
        <w:pStyle w:val="Default"/>
        <w:rPr>
          <w:i/>
          <w:sz w:val="22"/>
          <w:szCs w:val="22"/>
        </w:rPr>
      </w:pPr>
    </w:p>
    <w:p w14:paraId="164DCFF5" w14:textId="77777777" w:rsidR="001A2718" w:rsidRDefault="00FA5607" w:rsidP="004F2044">
      <w:pPr>
        <w:tabs>
          <w:tab w:val="left" w:pos="567"/>
        </w:tabs>
      </w:pPr>
    </w:p>
    <w:p w14:paraId="164DCFF6" w14:textId="77777777" w:rsidR="001A2718" w:rsidRDefault="00CC7D80" w:rsidP="004F2044">
      <w:pPr>
        <w:pStyle w:val="ListParagraph"/>
        <w:numPr>
          <w:ilvl w:val="0"/>
          <w:numId w:val="17"/>
        </w:numPr>
        <w:tabs>
          <w:tab w:val="left" w:pos="567"/>
        </w:tabs>
        <w:ind w:left="360"/>
      </w:pPr>
      <w:r w:rsidRPr="009E0E5F">
        <w:t>Relevant paragraphs of the Section 182 guidance are found below;</w:t>
      </w:r>
    </w:p>
    <w:p w14:paraId="164DCFF7" w14:textId="77777777" w:rsidR="001A2718" w:rsidRDefault="00FA5607" w:rsidP="004F2044">
      <w:pPr>
        <w:tabs>
          <w:tab w:val="left" w:pos="567"/>
        </w:tabs>
      </w:pPr>
    </w:p>
    <w:p w14:paraId="164DCFF8" w14:textId="77777777" w:rsidR="001A2718" w:rsidRPr="009E0E5F" w:rsidRDefault="00CC7D80" w:rsidP="004F2044">
      <w:pPr>
        <w:tabs>
          <w:tab w:val="left" w:pos="567"/>
        </w:tabs>
        <w:rPr>
          <w:i/>
        </w:rPr>
      </w:pPr>
      <w:r w:rsidRPr="009E0E5F">
        <w:rPr>
          <w:i/>
        </w:rPr>
        <w:t>“9.3 where a representation concerning the licensing objectives is made by a responsible authority about a proposed operating schedule and it is relev</w:t>
      </w:r>
      <w:r>
        <w:rPr>
          <w:i/>
        </w:rPr>
        <w:t xml:space="preserve">ant (see paragraphs 9.4 </w:t>
      </w:r>
      <w:r w:rsidRPr="009E0E5F">
        <w:rPr>
          <w:i/>
        </w:rPr>
        <w:t>below), the licensing authority’s discretion will be engaged. It will also be engaged if another person makes relevant representations to the licensing authority, which are also not frivolous or vexati</w:t>
      </w:r>
      <w:r>
        <w:rPr>
          <w:i/>
        </w:rPr>
        <w:t xml:space="preserve">ous (see paragraphs 9.4 </w:t>
      </w:r>
      <w:r w:rsidRPr="009E0E5F">
        <w:rPr>
          <w:i/>
        </w:rPr>
        <w:t xml:space="preserve">below). Relevant representations can be made in opposition to, or in support of, an application and can be made by any individual, body or business that has grounds to do so. </w:t>
      </w:r>
    </w:p>
    <w:p w14:paraId="164DCFF9" w14:textId="77777777" w:rsidR="001A2718" w:rsidRPr="009E0E5F" w:rsidRDefault="00FA5607" w:rsidP="004F2044">
      <w:pPr>
        <w:tabs>
          <w:tab w:val="left" w:pos="567"/>
        </w:tabs>
        <w:rPr>
          <w:i/>
        </w:rPr>
      </w:pPr>
    </w:p>
    <w:p w14:paraId="164DCFFA" w14:textId="77777777" w:rsidR="001A2718" w:rsidRPr="009E0E5F" w:rsidRDefault="00CC7D80" w:rsidP="004F2044">
      <w:pPr>
        <w:tabs>
          <w:tab w:val="left" w:pos="567"/>
        </w:tabs>
        <w:rPr>
          <w:i/>
        </w:rPr>
      </w:pPr>
      <w:r w:rsidRPr="009E0E5F">
        <w:rPr>
          <w:i/>
        </w:rPr>
        <w:t>9.4 A representation is “relevant” if it relates to the likely effect of the grant of the licence on the promotion of at least one of the licensing objectives. For example, a representation from a local businessperson about the commercial damage caused by competition from new licensed premises would not be relevant. On the other hand, a representation by a businessperson that nuisance caused by new premises would deter customers from entering the local area, and the steps proposed by the applicant to prevent that nuisance were inadequate, would be relevant. In other words, representations should relate to the impact of licensable activities carried on from premises on the objectives</w:t>
      </w:r>
      <w:proofErr w:type="gramStart"/>
      <w:r w:rsidRPr="009E0E5F">
        <w:rPr>
          <w:i/>
        </w:rPr>
        <w:t>…..</w:t>
      </w:r>
      <w:proofErr w:type="gramEnd"/>
      <w:r w:rsidRPr="009E0E5F">
        <w:rPr>
          <w:i/>
        </w:rPr>
        <w:t xml:space="preserve">There is no requirement for a responsible authority or other person to produce a recorded history of problems at premises to support their representations, and in fact this would not be possible for new premises. </w:t>
      </w:r>
    </w:p>
    <w:p w14:paraId="164DCFFB" w14:textId="77777777" w:rsidR="001A2718" w:rsidRPr="009E0E5F" w:rsidRDefault="00FA5607" w:rsidP="004F2044">
      <w:pPr>
        <w:tabs>
          <w:tab w:val="left" w:pos="567"/>
        </w:tabs>
        <w:rPr>
          <w:i/>
        </w:rPr>
      </w:pPr>
    </w:p>
    <w:p w14:paraId="164DCFFC" w14:textId="77777777" w:rsidR="001A2718" w:rsidRDefault="00CC7D80" w:rsidP="004F2044">
      <w:pPr>
        <w:tabs>
          <w:tab w:val="left" w:pos="567"/>
        </w:tabs>
        <w:rPr>
          <w:i/>
        </w:rPr>
      </w:pPr>
      <w:r w:rsidRPr="009E0E5F">
        <w:rPr>
          <w:i/>
        </w:rPr>
        <w:t xml:space="preserve">9.5 It is for the licensing authority to determine whether a representation (other than a representation from responsible authority) is frivolous or vexatious on the basis of what might ordinarily be considered to be vexatious or frivolous. A representation may be considered to be vexatious if it appears to be intended to cause aggravation or annoyance, whether to a competitor or other person, without reasonable cause or justification. Vexatious circumstances may arise because of disputes between rival businesses and local knowledge will therefore be invaluable in considering such matters. Licensing authorities can consider the main effect of the representation, and whether any inconvenience or expense caused by it could reasonably be considered to be proportionate. </w:t>
      </w:r>
    </w:p>
    <w:p w14:paraId="164DCFFD" w14:textId="77777777" w:rsidR="001A2718" w:rsidRPr="009E0E5F" w:rsidRDefault="00FA5607" w:rsidP="004F2044">
      <w:pPr>
        <w:tabs>
          <w:tab w:val="left" w:pos="567"/>
        </w:tabs>
        <w:rPr>
          <w:i/>
        </w:rPr>
      </w:pPr>
    </w:p>
    <w:p w14:paraId="164DCFFE" w14:textId="77777777" w:rsidR="001A2718" w:rsidRPr="009E0E5F" w:rsidRDefault="00CC7D80" w:rsidP="004F2044">
      <w:pPr>
        <w:tabs>
          <w:tab w:val="left" w:pos="567"/>
        </w:tabs>
        <w:rPr>
          <w:i/>
        </w:rPr>
      </w:pPr>
      <w:r w:rsidRPr="009E0E5F">
        <w:rPr>
          <w:i/>
        </w:rPr>
        <w:t>9.6 Frivolous representations would be essentially categorised by a lack of seriousness. Frivolous representations would concern issues which, at most, are minor and in relation to which no remedial steps would be warranted or proportionate.”</w:t>
      </w:r>
    </w:p>
    <w:p w14:paraId="164DCFFF" w14:textId="77777777" w:rsidR="001A2718" w:rsidRDefault="00FA5607" w:rsidP="004F2044">
      <w:pPr>
        <w:tabs>
          <w:tab w:val="left" w:pos="567"/>
        </w:tabs>
        <w:rPr>
          <w:i/>
        </w:rPr>
      </w:pPr>
    </w:p>
    <w:p w14:paraId="164DD000" w14:textId="77777777" w:rsidR="001A2718" w:rsidRDefault="00CC7D80" w:rsidP="00000BEB">
      <w:pPr>
        <w:pStyle w:val="ListParagraph"/>
        <w:numPr>
          <w:ilvl w:val="0"/>
          <w:numId w:val="17"/>
        </w:numPr>
        <w:tabs>
          <w:tab w:val="left" w:pos="567"/>
        </w:tabs>
        <w:ind w:left="360"/>
      </w:pPr>
      <w:r w:rsidRPr="00F33E30">
        <w:t>Panel members are requested to consider the evidence and to determine whether or not the application should be granted with or without modifications or rejected.</w:t>
      </w:r>
      <w:r>
        <w:t xml:space="preserve"> </w:t>
      </w:r>
    </w:p>
    <w:p w14:paraId="164DD001" w14:textId="77777777" w:rsidR="001A2718" w:rsidRPr="00C278CB" w:rsidRDefault="00FA5607" w:rsidP="001A2718">
      <w:pPr>
        <w:tabs>
          <w:tab w:val="left" w:pos="567"/>
        </w:tabs>
        <w:ind w:left="567" w:hanging="567"/>
        <w:rPr>
          <w:b/>
          <w:szCs w:val="22"/>
        </w:rPr>
      </w:pPr>
    </w:p>
    <w:p w14:paraId="164DD003" w14:textId="77777777" w:rsidR="001A2718" w:rsidRPr="00C278CB" w:rsidRDefault="00CC7D80" w:rsidP="00FA5607">
      <w:pPr>
        <w:tabs>
          <w:tab w:val="left" w:pos="567"/>
        </w:tabs>
        <w:rPr>
          <w:rFonts w:cs="Arial"/>
          <w:b/>
          <w:caps/>
        </w:rPr>
      </w:pPr>
      <w:r w:rsidRPr="00C278CB">
        <w:rPr>
          <w:rFonts w:cs="Arial"/>
          <w:b/>
          <w:caps/>
        </w:rPr>
        <w:t xml:space="preserve">AIR QUALITY IMPLICATIONS </w:t>
      </w:r>
    </w:p>
    <w:p w14:paraId="164DD004" w14:textId="77777777" w:rsidR="001A2718" w:rsidRPr="00C278CB" w:rsidRDefault="00FA5607" w:rsidP="001A2718">
      <w:pPr>
        <w:tabs>
          <w:tab w:val="left" w:pos="567"/>
        </w:tabs>
        <w:ind w:left="567" w:hanging="567"/>
        <w:rPr>
          <w:rFonts w:cs="Arial"/>
          <w:b/>
          <w:caps/>
        </w:rPr>
      </w:pPr>
    </w:p>
    <w:p w14:paraId="164DD005" w14:textId="77777777" w:rsidR="001A2718" w:rsidRPr="001A2718" w:rsidRDefault="00CC7D80" w:rsidP="00000BEB">
      <w:pPr>
        <w:pStyle w:val="ListParagraph"/>
        <w:numPr>
          <w:ilvl w:val="0"/>
          <w:numId w:val="17"/>
        </w:numPr>
        <w:tabs>
          <w:tab w:val="left" w:pos="567"/>
        </w:tabs>
        <w:ind w:left="360"/>
        <w:rPr>
          <w:rFonts w:cs="Arial"/>
          <w:b/>
          <w:caps/>
        </w:rPr>
      </w:pPr>
      <w:r w:rsidRPr="001A2718">
        <w:rPr>
          <w:rFonts w:cs="Arial"/>
        </w:rPr>
        <w:t xml:space="preserve">No Air Quality Implications </w:t>
      </w:r>
    </w:p>
    <w:p w14:paraId="164DD006" w14:textId="77777777" w:rsidR="001A2718" w:rsidRPr="00C278CB" w:rsidRDefault="00FA5607" w:rsidP="001A2718">
      <w:pPr>
        <w:tabs>
          <w:tab w:val="left" w:pos="567"/>
        </w:tabs>
        <w:ind w:left="567" w:hanging="567"/>
        <w:rPr>
          <w:rFonts w:cs="Arial"/>
          <w:b/>
          <w:caps/>
        </w:rPr>
      </w:pPr>
    </w:p>
    <w:p w14:paraId="164DD007" w14:textId="77777777" w:rsidR="001A2718" w:rsidRPr="00C278CB" w:rsidRDefault="00CC7D80" w:rsidP="001A2718">
      <w:pPr>
        <w:tabs>
          <w:tab w:val="left" w:pos="567"/>
        </w:tabs>
        <w:ind w:left="567" w:hanging="567"/>
        <w:rPr>
          <w:rFonts w:cs="Arial"/>
          <w:b/>
        </w:rPr>
      </w:pPr>
      <w:r w:rsidRPr="00C278CB">
        <w:rPr>
          <w:rFonts w:cs="Arial"/>
          <w:b/>
        </w:rPr>
        <w:t>COMMENTS OF THE STATUTORY FINANCE OFFICER</w:t>
      </w:r>
    </w:p>
    <w:p w14:paraId="164DD008" w14:textId="77777777" w:rsidR="001A2718" w:rsidRPr="00C278CB" w:rsidRDefault="00FA5607" w:rsidP="001A2718">
      <w:pPr>
        <w:tabs>
          <w:tab w:val="left" w:pos="567"/>
        </w:tabs>
        <w:ind w:left="567" w:hanging="567"/>
        <w:rPr>
          <w:rFonts w:cs="Arial"/>
          <w:b/>
        </w:rPr>
      </w:pPr>
    </w:p>
    <w:p w14:paraId="164DD009" w14:textId="77777777" w:rsidR="001A2718" w:rsidRPr="008F6322" w:rsidRDefault="00CC7D80" w:rsidP="00000BEB">
      <w:pPr>
        <w:pStyle w:val="ListParagraph"/>
        <w:numPr>
          <w:ilvl w:val="0"/>
          <w:numId w:val="17"/>
        </w:numPr>
        <w:tabs>
          <w:tab w:val="left" w:pos="567"/>
        </w:tabs>
        <w:ind w:left="360"/>
        <w:rPr>
          <w:rFonts w:cs="Arial"/>
          <w:iCs/>
        </w:rPr>
      </w:pPr>
      <w:r>
        <w:rPr>
          <w:rFonts w:cs="Arial"/>
          <w:iCs/>
        </w:rPr>
        <w:t xml:space="preserve">There are no additional costs relating to this report.  If a licence is </w:t>
      </w:r>
      <w:proofErr w:type="gramStart"/>
      <w:r>
        <w:rPr>
          <w:rFonts w:cs="Arial"/>
          <w:iCs/>
        </w:rPr>
        <w:t>granted</w:t>
      </w:r>
      <w:proofErr w:type="gramEnd"/>
      <w:r>
        <w:rPr>
          <w:rFonts w:cs="Arial"/>
          <w:iCs/>
        </w:rPr>
        <w:t xml:space="preserve"> then there would be additional income to the council from the associated fees.</w:t>
      </w:r>
    </w:p>
    <w:p w14:paraId="73B00603" w14:textId="77777777" w:rsidR="00306164" w:rsidRPr="00C278CB" w:rsidRDefault="00306164" w:rsidP="001A2718">
      <w:pPr>
        <w:tabs>
          <w:tab w:val="left" w:pos="567"/>
        </w:tabs>
        <w:ind w:left="567" w:hanging="567"/>
        <w:rPr>
          <w:rFonts w:cs="Arial"/>
          <w:b/>
          <w:i/>
        </w:rPr>
      </w:pPr>
    </w:p>
    <w:p w14:paraId="3C758EC6" w14:textId="77777777" w:rsidR="00FA5607" w:rsidRDefault="00FA5607" w:rsidP="00306164">
      <w:pPr>
        <w:tabs>
          <w:tab w:val="left" w:pos="567"/>
        </w:tabs>
        <w:rPr>
          <w:rFonts w:cs="Arial"/>
          <w:b/>
        </w:rPr>
      </w:pPr>
    </w:p>
    <w:p w14:paraId="79E26FC0" w14:textId="77777777" w:rsidR="00FA5607" w:rsidRDefault="00FA5607" w:rsidP="00306164">
      <w:pPr>
        <w:tabs>
          <w:tab w:val="left" w:pos="567"/>
        </w:tabs>
        <w:rPr>
          <w:rFonts w:cs="Arial"/>
          <w:b/>
        </w:rPr>
      </w:pPr>
    </w:p>
    <w:p w14:paraId="594D1D5C" w14:textId="77777777" w:rsidR="00FA5607" w:rsidRDefault="00FA5607" w:rsidP="00306164">
      <w:pPr>
        <w:tabs>
          <w:tab w:val="left" w:pos="567"/>
        </w:tabs>
        <w:rPr>
          <w:rFonts w:cs="Arial"/>
          <w:b/>
        </w:rPr>
      </w:pPr>
    </w:p>
    <w:p w14:paraId="2F24656D" w14:textId="7EE604A5" w:rsidR="00306164" w:rsidRDefault="00CC7D80" w:rsidP="00306164">
      <w:pPr>
        <w:tabs>
          <w:tab w:val="left" w:pos="567"/>
        </w:tabs>
        <w:rPr>
          <w:rFonts w:cs="Arial"/>
          <w:b/>
        </w:rPr>
      </w:pPr>
      <w:r w:rsidRPr="00306164">
        <w:rPr>
          <w:rFonts w:cs="Arial"/>
          <w:b/>
        </w:rPr>
        <w:lastRenderedPageBreak/>
        <w:t>COMMENTS OF THE MONITORING OFFICER</w:t>
      </w:r>
      <w:r w:rsidR="00000BEB" w:rsidRPr="00306164">
        <w:rPr>
          <w:rFonts w:cs="Arial"/>
          <w:b/>
        </w:rPr>
        <w:t xml:space="preserve"> </w:t>
      </w:r>
    </w:p>
    <w:p w14:paraId="70A11D5A" w14:textId="77777777" w:rsidR="00306164" w:rsidRDefault="00306164" w:rsidP="00306164">
      <w:pPr>
        <w:tabs>
          <w:tab w:val="left" w:pos="567"/>
        </w:tabs>
        <w:rPr>
          <w:rFonts w:cs="Arial"/>
          <w:b/>
        </w:rPr>
      </w:pPr>
    </w:p>
    <w:p w14:paraId="164DD00E" w14:textId="1F3F4AAB" w:rsidR="001A2718" w:rsidRPr="00FA5607" w:rsidRDefault="00CC7D80" w:rsidP="00FA5607">
      <w:pPr>
        <w:pStyle w:val="ListParagraph"/>
        <w:numPr>
          <w:ilvl w:val="0"/>
          <w:numId w:val="17"/>
        </w:numPr>
        <w:tabs>
          <w:tab w:val="left" w:pos="567"/>
        </w:tabs>
        <w:rPr>
          <w:b/>
          <w:strike/>
        </w:rPr>
      </w:pPr>
      <w:r>
        <w:t xml:space="preserve">The report identifies the relevant legislation in respect of this matter.  One important point to make is that any party aggrieved with the decision of the panel, does have the right to appeal to a Magistrates Court within 21 days.  </w:t>
      </w:r>
    </w:p>
    <w:p w14:paraId="31E90968" w14:textId="77777777" w:rsidR="00306164" w:rsidRPr="00306164" w:rsidRDefault="00306164" w:rsidP="00306164">
      <w:pPr>
        <w:pStyle w:val="ListParagraph"/>
        <w:tabs>
          <w:tab w:val="left" w:pos="567"/>
        </w:tabs>
        <w:ind w:left="360"/>
        <w:rPr>
          <w:b/>
          <w:strike/>
        </w:rPr>
      </w:pPr>
    </w:p>
    <w:p w14:paraId="164DD00F" w14:textId="77777777" w:rsidR="001A2718" w:rsidRPr="00C278CB" w:rsidRDefault="00CC7D80" w:rsidP="001A2718">
      <w:pPr>
        <w:rPr>
          <w:b/>
          <w:szCs w:val="22"/>
        </w:rPr>
      </w:pPr>
      <w:r w:rsidRPr="00C278CB">
        <w:rPr>
          <w:b/>
          <w:szCs w:val="22"/>
        </w:rPr>
        <w:t xml:space="preserve">OTHER IMPLICATIONS: </w:t>
      </w:r>
    </w:p>
    <w:p w14:paraId="164DD010" w14:textId="77777777" w:rsidR="001A2718" w:rsidRPr="00C278CB" w:rsidRDefault="00FA5607" w:rsidP="001A2718">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6E68F8" w14:paraId="164DD024" w14:textId="77777777" w:rsidTr="00FA5607">
        <w:trPr>
          <w:trHeight w:val="1552"/>
        </w:trPr>
        <w:tc>
          <w:tcPr>
            <w:tcW w:w="3544" w:type="dxa"/>
            <w:shd w:val="clear" w:color="auto" w:fill="auto"/>
          </w:tcPr>
          <w:p w14:paraId="164DD011" w14:textId="77777777" w:rsidR="001A2718" w:rsidRPr="00C278CB" w:rsidRDefault="00FA5607" w:rsidP="009339E8">
            <w:pPr>
              <w:ind w:left="360"/>
              <w:rPr>
                <w:b/>
                <w:szCs w:val="22"/>
              </w:rPr>
            </w:pPr>
          </w:p>
          <w:p w14:paraId="164DD012" w14:textId="77777777" w:rsidR="001A2718" w:rsidRPr="00C278CB" w:rsidRDefault="00CC7D80" w:rsidP="00FA5607">
            <w:pPr>
              <w:rPr>
                <w:b/>
                <w:szCs w:val="22"/>
              </w:rPr>
            </w:pPr>
            <w:r w:rsidRPr="00C278CB">
              <w:rPr>
                <w:b/>
                <w:szCs w:val="22"/>
              </w:rPr>
              <w:t xml:space="preserve">Risk </w:t>
            </w:r>
          </w:p>
          <w:p w14:paraId="164DD013" w14:textId="77777777" w:rsidR="001A2718" w:rsidRPr="00C278CB" w:rsidRDefault="00FA5607" w:rsidP="009339E8">
            <w:pPr>
              <w:rPr>
                <w:b/>
                <w:szCs w:val="22"/>
              </w:rPr>
            </w:pPr>
          </w:p>
          <w:p w14:paraId="164DD014" w14:textId="77777777" w:rsidR="001A2718" w:rsidRPr="00C278CB" w:rsidRDefault="00CC7D80" w:rsidP="00FA5607">
            <w:pPr>
              <w:rPr>
                <w:b/>
                <w:szCs w:val="22"/>
              </w:rPr>
            </w:pPr>
            <w:r w:rsidRPr="00C278CB">
              <w:rPr>
                <w:b/>
                <w:szCs w:val="22"/>
              </w:rPr>
              <w:t xml:space="preserve">Equality &amp; Diversity </w:t>
            </w:r>
          </w:p>
          <w:p w14:paraId="164DD019" w14:textId="77777777" w:rsidR="001A2718" w:rsidRPr="00C278CB" w:rsidRDefault="00FA5607" w:rsidP="00FA5607">
            <w:pPr>
              <w:rPr>
                <w:szCs w:val="22"/>
              </w:rPr>
            </w:pPr>
          </w:p>
        </w:tc>
        <w:tc>
          <w:tcPr>
            <w:tcW w:w="6379" w:type="dxa"/>
            <w:shd w:val="clear" w:color="auto" w:fill="auto"/>
          </w:tcPr>
          <w:p w14:paraId="164DD01A" w14:textId="77777777" w:rsidR="001A2718" w:rsidRPr="00C278CB" w:rsidRDefault="00FA5607" w:rsidP="009339E8">
            <w:pPr>
              <w:rPr>
                <w:szCs w:val="22"/>
              </w:rPr>
            </w:pPr>
          </w:p>
          <w:p w14:paraId="164DD01B" w14:textId="64A0EECC" w:rsidR="001A2718" w:rsidRPr="00C278CB" w:rsidRDefault="00CC7D80" w:rsidP="009339E8">
            <w:pPr>
              <w:rPr>
                <w:i/>
                <w:szCs w:val="22"/>
              </w:rPr>
            </w:pPr>
            <w:r>
              <w:rPr>
                <w:i/>
                <w:szCs w:val="22"/>
              </w:rPr>
              <w:t>Please refer to the Monitoring Officer comments set out above.</w:t>
            </w:r>
          </w:p>
          <w:p w14:paraId="164DD01C" w14:textId="77777777" w:rsidR="001A2718" w:rsidRPr="00C278CB" w:rsidRDefault="00FA5607" w:rsidP="009339E8">
            <w:pPr>
              <w:rPr>
                <w:i/>
                <w:szCs w:val="22"/>
              </w:rPr>
            </w:pPr>
          </w:p>
          <w:p w14:paraId="164DD01D" w14:textId="0CF5FCDA" w:rsidR="001A2718" w:rsidRPr="00C278CB" w:rsidRDefault="00CC7D80" w:rsidP="009339E8">
            <w:pPr>
              <w:rPr>
                <w:i/>
                <w:szCs w:val="22"/>
              </w:rPr>
            </w:pPr>
            <w:r>
              <w:rPr>
                <w:i/>
                <w:szCs w:val="22"/>
              </w:rPr>
              <w:t>No issues have been identified in respect of Equality &amp; Diversity.</w:t>
            </w:r>
          </w:p>
          <w:p w14:paraId="164DD01E" w14:textId="77777777" w:rsidR="001A2718" w:rsidRPr="00C278CB" w:rsidRDefault="00FA5607" w:rsidP="009339E8">
            <w:pPr>
              <w:rPr>
                <w:i/>
                <w:szCs w:val="22"/>
              </w:rPr>
            </w:pPr>
          </w:p>
          <w:p w14:paraId="164DD01F" w14:textId="77777777" w:rsidR="001A2718" w:rsidRDefault="00FA5607" w:rsidP="009339E8">
            <w:pPr>
              <w:rPr>
                <w:i/>
                <w:szCs w:val="22"/>
              </w:rPr>
            </w:pPr>
          </w:p>
          <w:p w14:paraId="164DD020" w14:textId="77777777" w:rsidR="001A2718" w:rsidRPr="00C278CB" w:rsidRDefault="00FA5607" w:rsidP="009339E8">
            <w:pPr>
              <w:rPr>
                <w:i/>
                <w:szCs w:val="22"/>
              </w:rPr>
            </w:pPr>
          </w:p>
          <w:p w14:paraId="164DD022" w14:textId="53F1EA85" w:rsidR="001A2718" w:rsidRPr="00C278CB" w:rsidRDefault="00FA5607" w:rsidP="009339E8">
            <w:pPr>
              <w:rPr>
                <w:i/>
                <w:szCs w:val="22"/>
              </w:rPr>
            </w:pPr>
          </w:p>
          <w:p w14:paraId="164DD023" w14:textId="77777777" w:rsidR="001A2718" w:rsidRPr="00C278CB" w:rsidRDefault="00FA5607" w:rsidP="009339E8">
            <w:pPr>
              <w:rPr>
                <w:i/>
                <w:szCs w:val="22"/>
              </w:rPr>
            </w:pPr>
          </w:p>
        </w:tc>
      </w:tr>
    </w:tbl>
    <w:p w14:paraId="164DD025" w14:textId="77777777" w:rsidR="001A2718" w:rsidRPr="00C278CB" w:rsidRDefault="00FA5607" w:rsidP="001A2718">
      <w:pPr>
        <w:rPr>
          <w:b/>
          <w:szCs w:val="22"/>
        </w:rPr>
      </w:pPr>
    </w:p>
    <w:p w14:paraId="164DD026" w14:textId="1D16FE91" w:rsidR="001A2718" w:rsidRPr="00C278CB" w:rsidRDefault="00CC7D80" w:rsidP="001A2718">
      <w:pPr>
        <w:tabs>
          <w:tab w:val="left" w:pos="567"/>
        </w:tabs>
        <w:rPr>
          <w:b/>
          <w:szCs w:val="22"/>
        </w:rPr>
      </w:pPr>
      <w:r w:rsidRPr="00C278CB">
        <w:rPr>
          <w:b/>
          <w:szCs w:val="22"/>
        </w:rPr>
        <w:t xml:space="preserve">BACKGROUND DOCUMENTS </w:t>
      </w:r>
    </w:p>
    <w:p w14:paraId="164DD027" w14:textId="77777777" w:rsidR="001A2718" w:rsidRPr="00C278CB" w:rsidRDefault="00FA5607" w:rsidP="001A2718">
      <w:pPr>
        <w:tabs>
          <w:tab w:val="left" w:pos="567"/>
        </w:tabs>
        <w:rPr>
          <w:szCs w:val="22"/>
        </w:rPr>
      </w:pPr>
    </w:p>
    <w:p w14:paraId="164DD028" w14:textId="77777777" w:rsidR="00E50EB7" w:rsidRPr="00CC7D80" w:rsidRDefault="00CC7D80" w:rsidP="001A2718">
      <w:pPr>
        <w:tabs>
          <w:tab w:val="left" w:pos="567"/>
        </w:tabs>
      </w:pPr>
      <w:r w:rsidRPr="00CC7D80">
        <w:t xml:space="preserve">Background Document 1  - Application form with plan of premises </w:t>
      </w:r>
    </w:p>
    <w:p w14:paraId="164DD029" w14:textId="73548AB4" w:rsidR="00E50EB7" w:rsidRPr="00CC7D80" w:rsidRDefault="00CC7D80" w:rsidP="001A2718">
      <w:pPr>
        <w:tabs>
          <w:tab w:val="left" w:pos="567"/>
        </w:tabs>
      </w:pPr>
      <w:r w:rsidRPr="00CC7D80">
        <w:t xml:space="preserve">Background Document 2 – Plan of premises </w:t>
      </w:r>
    </w:p>
    <w:p w14:paraId="0D59FF6C" w14:textId="77777777" w:rsidR="00CC7D80" w:rsidRDefault="00CC7D80" w:rsidP="001A2718">
      <w:pPr>
        <w:tabs>
          <w:tab w:val="left" w:pos="567"/>
        </w:tabs>
        <w:rPr>
          <w:i/>
        </w:rPr>
      </w:pPr>
    </w:p>
    <w:p w14:paraId="164DD02A" w14:textId="45EDB7B1" w:rsidR="001A2718" w:rsidRPr="00C278CB" w:rsidRDefault="00CC7D80" w:rsidP="001A2718">
      <w:pPr>
        <w:tabs>
          <w:tab w:val="left" w:pos="567"/>
        </w:tabs>
        <w:rPr>
          <w:b/>
        </w:rPr>
      </w:pPr>
      <w:r w:rsidRPr="00C278CB">
        <w:rPr>
          <w:b/>
        </w:rPr>
        <w:t xml:space="preserve">APPENDICES </w:t>
      </w:r>
    </w:p>
    <w:p w14:paraId="164DD02B" w14:textId="77777777" w:rsidR="001A2718" w:rsidRPr="00C278CB" w:rsidRDefault="00FA5607" w:rsidP="001A2718">
      <w:pPr>
        <w:tabs>
          <w:tab w:val="left" w:pos="567"/>
        </w:tabs>
        <w:rPr>
          <w:b/>
        </w:rPr>
      </w:pPr>
    </w:p>
    <w:p w14:paraId="164DD02E" w14:textId="77777777" w:rsidR="001A2718" w:rsidRPr="00CC7D80" w:rsidRDefault="00CC7D80" w:rsidP="00FA5607">
      <w:pPr>
        <w:tabs>
          <w:tab w:val="left" w:pos="567"/>
        </w:tabs>
      </w:pPr>
      <w:r w:rsidRPr="00CC7D80">
        <w:t xml:space="preserve">Appendix 1- Agreed conditions between applicant and the police </w:t>
      </w:r>
    </w:p>
    <w:p w14:paraId="164DD02F" w14:textId="77777777" w:rsidR="001A2718" w:rsidRPr="00CC7D80" w:rsidRDefault="00CC7D80" w:rsidP="001A2718">
      <w:pPr>
        <w:tabs>
          <w:tab w:val="left" w:pos="567"/>
        </w:tabs>
        <w:ind w:left="720" w:hanging="720"/>
      </w:pPr>
      <w:r w:rsidRPr="00CC7D80">
        <w:t>Appendix 2 - Representation 1</w:t>
      </w:r>
    </w:p>
    <w:p w14:paraId="164DD030" w14:textId="77777777" w:rsidR="004F2044" w:rsidRPr="00CC7D80" w:rsidRDefault="00CC7D80" w:rsidP="001A2718">
      <w:pPr>
        <w:tabs>
          <w:tab w:val="left" w:pos="567"/>
        </w:tabs>
        <w:ind w:left="720" w:hanging="720"/>
        <w:rPr>
          <w:rFonts w:cs="Arial"/>
        </w:rPr>
      </w:pPr>
      <w:r w:rsidRPr="00CC7D80">
        <w:t>Appendix 3 - Representation 2</w:t>
      </w:r>
    </w:p>
    <w:p w14:paraId="164DD031" w14:textId="77777777" w:rsidR="001A2718" w:rsidRPr="00C278CB" w:rsidRDefault="00FA5607" w:rsidP="001A2718">
      <w:pPr>
        <w:tabs>
          <w:tab w:val="left" w:pos="567"/>
          <w:tab w:val="left" w:pos="2839"/>
        </w:tabs>
        <w:rPr>
          <w:b/>
          <w:szCs w:val="22"/>
        </w:rPr>
      </w:pPr>
    </w:p>
    <w:p w14:paraId="164DD032" w14:textId="77777777" w:rsidR="001A2718" w:rsidRPr="00C278CB" w:rsidRDefault="00FA5607" w:rsidP="001A2718">
      <w:pPr>
        <w:tabs>
          <w:tab w:val="left" w:pos="2839"/>
        </w:tabs>
        <w:ind w:left="426" w:hanging="426"/>
        <w:rPr>
          <w:rFonts w:cs="Arial"/>
        </w:rPr>
      </w:pPr>
    </w:p>
    <w:p w14:paraId="164DD033" w14:textId="2EC6D29F" w:rsidR="001A2718" w:rsidRPr="00C278CB" w:rsidRDefault="00FA5607" w:rsidP="001A2718">
      <w:pPr>
        <w:tabs>
          <w:tab w:val="left" w:pos="2839"/>
        </w:tabs>
        <w:ind w:left="426" w:hanging="426"/>
        <w:rPr>
          <w:rFonts w:cs="Arial"/>
        </w:rPr>
      </w:pPr>
      <w:r>
        <w:rPr>
          <w:rFonts w:cs="Arial"/>
        </w:rPr>
        <w:t>Dave Whelan</w:t>
      </w:r>
    </w:p>
    <w:p w14:paraId="164DD034" w14:textId="5E97EC32" w:rsidR="001A2718" w:rsidRPr="00C278CB" w:rsidRDefault="00FA5607" w:rsidP="001A2718">
      <w:pPr>
        <w:tabs>
          <w:tab w:val="left" w:pos="2839"/>
        </w:tabs>
        <w:rPr>
          <w:rFonts w:cs="Arial"/>
        </w:rPr>
      </w:pPr>
      <w:r>
        <w:rPr>
          <w:rFonts w:cs="Arial"/>
        </w:rPr>
        <w:t>Shared Services Lead (Legal) and Deputy Monitoring Officer</w:t>
      </w:r>
      <w:bookmarkStart w:id="1" w:name="_GoBack"/>
      <w:bookmarkEnd w:id="1"/>
    </w:p>
    <w:p w14:paraId="164DD035" w14:textId="77777777" w:rsidR="001A2718" w:rsidRPr="007F1945" w:rsidRDefault="00FA5607" w:rsidP="001A2718">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1554"/>
        <w:gridCol w:w="2358"/>
      </w:tblGrid>
      <w:tr w:rsidR="006E68F8" w14:paraId="164DD039" w14:textId="77777777" w:rsidTr="009339E8">
        <w:tc>
          <w:tcPr>
            <w:tcW w:w="5700" w:type="dxa"/>
            <w:shd w:val="clear" w:color="auto" w:fill="auto"/>
          </w:tcPr>
          <w:p w14:paraId="164DD036" w14:textId="77777777" w:rsidR="001A2718" w:rsidRPr="0031059E" w:rsidRDefault="00CC7D80" w:rsidP="009339E8">
            <w:pPr>
              <w:rPr>
                <w:rFonts w:cs="Arial"/>
              </w:rPr>
            </w:pPr>
            <w:r w:rsidRPr="0031059E">
              <w:rPr>
                <w:rFonts w:cs="Arial"/>
              </w:rPr>
              <w:t>Report Author:</w:t>
            </w:r>
          </w:p>
        </w:tc>
        <w:tc>
          <w:tcPr>
            <w:tcW w:w="1559" w:type="dxa"/>
            <w:shd w:val="clear" w:color="auto" w:fill="auto"/>
          </w:tcPr>
          <w:p w14:paraId="164DD037" w14:textId="77777777" w:rsidR="001A2718" w:rsidRPr="0031059E" w:rsidRDefault="00CC7D80" w:rsidP="009339E8">
            <w:pPr>
              <w:rPr>
                <w:rFonts w:cs="Arial"/>
              </w:rPr>
            </w:pPr>
            <w:r w:rsidRPr="0031059E">
              <w:rPr>
                <w:rFonts w:cs="Arial"/>
              </w:rPr>
              <w:t>Telephone:</w:t>
            </w:r>
          </w:p>
        </w:tc>
        <w:tc>
          <w:tcPr>
            <w:tcW w:w="2380" w:type="dxa"/>
            <w:shd w:val="clear" w:color="auto" w:fill="auto"/>
          </w:tcPr>
          <w:p w14:paraId="164DD038" w14:textId="77777777" w:rsidR="001A2718" w:rsidRPr="0031059E" w:rsidRDefault="00CC7D80" w:rsidP="009339E8">
            <w:pPr>
              <w:rPr>
                <w:rFonts w:cs="Arial"/>
              </w:rPr>
            </w:pPr>
            <w:r w:rsidRPr="0031059E">
              <w:rPr>
                <w:rFonts w:cs="Arial"/>
              </w:rPr>
              <w:t>Date:</w:t>
            </w:r>
          </w:p>
        </w:tc>
      </w:tr>
      <w:tr w:rsidR="006E68F8" w14:paraId="164DD03D" w14:textId="77777777" w:rsidTr="009339E8">
        <w:tc>
          <w:tcPr>
            <w:tcW w:w="5700" w:type="dxa"/>
            <w:shd w:val="clear" w:color="auto" w:fill="auto"/>
          </w:tcPr>
          <w:p w14:paraId="164DD03A" w14:textId="77777777" w:rsidR="001A2718" w:rsidRPr="0031059E" w:rsidRDefault="00CC7D80" w:rsidP="009339E8">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Chris Ward</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r>
              <w:rPr>
                <w:rFonts w:cs="Arial"/>
              </w:rPr>
              <w:t>)</w:t>
            </w:r>
          </w:p>
        </w:tc>
        <w:tc>
          <w:tcPr>
            <w:tcW w:w="1559" w:type="dxa"/>
            <w:shd w:val="clear" w:color="auto" w:fill="auto"/>
          </w:tcPr>
          <w:p w14:paraId="164DD03B" w14:textId="77777777" w:rsidR="001A2718" w:rsidRPr="0031059E" w:rsidRDefault="00CC7D80" w:rsidP="009339E8">
            <w:pPr>
              <w:rPr>
                <w:rFonts w:cs="Arial"/>
              </w:rPr>
            </w:pPr>
            <w:r>
              <w:rPr>
                <w:rFonts w:cs="Arial"/>
              </w:rPr>
              <w:t>01772 625330</w:t>
            </w:r>
          </w:p>
        </w:tc>
        <w:tc>
          <w:tcPr>
            <w:tcW w:w="2380" w:type="dxa"/>
            <w:shd w:val="clear" w:color="auto" w:fill="auto"/>
          </w:tcPr>
          <w:p w14:paraId="164DD03C" w14:textId="77777777" w:rsidR="001A2718" w:rsidRPr="0031059E" w:rsidRDefault="00CC7D80" w:rsidP="009339E8">
            <w:pPr>
              <w:rPr>
                <w:rFonts w:cs="Arial"/>
              </w:rPr>
            </w:pPr>
            <w:r>
              <w:rPr>
                <w:rFonts w:cs="Arial"/>
              </w:rPr>
              <w:t>03/11/2020</w:t>
            </w:r>
          </w:p>
        </w:tc>
      </w:tr>
    </w:tbl>
    <w:p w14:paraId="164DD03E" w14:textId="77777777" w:rsidR="001A2718" w:rsidRPr="009725FB" w:rsidRDefault="00FA5607" w:rsidP="001A2718">
      <w:pPr>
        <w:tabs>
          <w:tab w:val="left" w:pos="2839"/>
        </w:tabs>
        <w:rPr>
          <w:rFonts w:cs="Arial"/>
        </w:rPr>
      </w:pPr>
    </w:p>
    <w:p w14:paraId="164DD03F" w14:textId="77777777" w:rsidR="001C5E49" w:rsidRPr="001A2718" w:rsidRDefault="00FA5607" w:rsidP="001A2718"/>
    <w:sectPr w:rsidR="001C5E49" w:rsidRPr="001A2718"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D048" w14:textId="77777777" w:rsidR="005218DD" w:rsidRDefault="00CC7D80">
      <w:r>
        <w:separator/>
      </w:r>
    </w:p>
  </w:endnote>
  <w:endnote w:type="continuationSeparator" w:id="0">
    <w:p w14:paraId="164DD04A" w14:textId="77777777" w:rsidR="005218DD" w:rsidRDefault="00CC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D042" w14:textId="77777777" w:rsidR="00FD7B65" w:rsidRPr="00FD7B65" w:rsidRDefault="00CC7D80">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164DD043" w14:textId="77777777" w:rsidR="00FD7B65" w:rsidRDefault="00FA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D044" w14:textId="77777777" w:rsidR="005218DD" w:rsidRDefault="00CC7D80">
      <w:r>
        <w:separator/>
      </w:r>
    </w:p>
  </w:footnote>
  <w:footnote w:type="continuationSeparator" w:id="0">
    <w:p w14:paraId="164DD046" w14:textId="77777777" w:rsidR="005218DD" w:rsidRDefault="00CC7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CF3A7950">
      <w:start w:val="1"/>
      <w:numFmt w:val="bullet"/>
      <w:lvlText w:val=""/>
      <w:lvlJc w:val="left"/>
      <w:pPr>
        <w:ind w:left="720" w:hanging="360"/>
      </w:pPr>
      <w:rPr>
        <w:rFonts w:ascii="Symbol" w:hAnsi="Symbol" w:hint="default"/>
      </w:rPr>
    </w:lvl>
    <w:lvl w:ilvl="1" w:tplc="7CC4F0FC" w:tentative="1">
      <w:start w:val="1"/>
      <w:numFmt w:val="bullet"/>
      <w:lvlText w:val="o"/>
      <w:lvlJc w:val="left"/>
      <w:pPr>
        <w:ind w:left="1440" w:hanging="360"/>
      </w:pPr>
      <w:rPr>
        <w:rFonts w:ascii="Courier New" w:hAnsi="Courier New" w:cs="Courier New" w:hint="default"/>
      </w:rPr>
    </w:lvl>
    <w:lvl w:ilvl="2" w:tplc="81426786" w:tentative="1">
      <w:start w:val="1"/>
      <w:numFmt w:val="bullet"/>
      <w:lvlText w:val=""/>
      <w:lvlJc w:val="left"/>
      <w:pPr>
        <w:ind w:left="2160" w:hanging="360"/>
      </w:pPr>
      <w:rPr>
        <w:rFonts w:ascii="Wingdings" w:hAnsi="Wingdings" w:hint="default"/>
      </w:rPr>
    </w:lvl>
    <w:lvl w:ilvl="3" w:tplc="E766C9BE" w:tentative="1">
      <w:start w:val="1"/>
      <w:numFmt w:val="bullet"/>
      <w:lvlText w:val=""/>
      <w:lvlJc w:val="left"/>
      <w:pPr>
        <w:ind w:left="2880" w:hanging="360"/>
      </w:pPr>
      <w:rPr>
        <w:rFonts w:ascii="Symbol" w:hAnsi="Symbol" w:hint="default"/>
      </w:rPr>
    </w:lvl>
    <w:lvl w:ilvl="4" w:tplc="1730EF2E" w:tentative="1">
      <w:start w:val="1"/>
      <w:numFmt w:val="bullet"/>
      <w:lvlText w:val="o"/>
      <w:lvlJc w:val="left"/>
      <w:pPr>
        <w:ind w:left="3600" w:hanging="360"/>
      </w:pPr>
      <w:rPr>
        <w:rFonts w:ascii="Courier New" w:hAnsi="Courier New" w:cs="Courier New" w:hint="default"/>
      </w:rPr>
    </w:lvl>
    <w:lvl w:ilvl="5" w:tplc="4CC81890" w:tentative="1">
      <w:start w:val="1"/>
      <w:numFmt w:val="bullet"/>
      <w:lvlText w:val=""/>
      <w:lvlJc w:val="left"/>
      <w:pPr>
        <w:ind w:left="4320" w:hanging="360"/>
      </w:pPr>
      <w:rPr>
        <w:rFonts w:ascii="Wingdings" w:hAnsi="Wingdings" w:hint="default"/>
      </w:rPr>
    </w:lvl>
    <w:lvl w:ilvl="6" w:tplc="B556162E" w:tentative="1">
      <w:start w:val="1"/>
      <w:numFmt w:val="bullet"/>
      <w:lvlText w:val=""/>
      <w:lvlJc w:val="left"/>
      <w:pPr>
        <w:ind w:left="5040" w:hanging="360"/>
      </w:pPr>
      <w:rPr>
        <w:rFonts w:ascii="Symbol" w:hAnsi="Symbol" w:hint="default"/>
      </w:rPr>
    </w:lvl>
    <w:lvl w:ilvl="7" w:tplc="33FE0ED6" w:tentative="1">
      <w:start w:val="1"/>
      <w:numFmt w:val="bullet"/>
      <w:lvlText w:val="o"/>
      <w:lvlJc w:val="left"/>
      <w:pPr>
        <w:ind w:left="5760" w:hanging="360"/>
      </w:pPr>
      <w:rPr>
        <w:rFonts w:ascii="Courier New" w:hAnsi="Courier New" w:cs="Courier New" w:hint="default"/>
      </w:rPr>
    </w:lvl>
    <w:lvl w:ilvl="8" w:tplc="732263A2"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69AE8E42">
      <w:start w:val="1"/>
      <w:numFmt w:val="bullet"/>
      <w:lvlText w:val=""/>
      <w:lvlJc w:val="left"/>
      <w:pPr>
        <w:ind w:left="780" w:hanging="360"/>
      </w:pPr>
      <w:rPr>
        <w:rFonts w:ascii="Symbol" w:hAnsi="Symbol" w:hint="default"/>
      </w:rPr>
    </w:lvl>
    <w:lvl w:ilvl="1" w:tplc="168445FA" w:tentative="1">
      <w:start w:val="1"/>
      <w:numFmt w:val="bullet"/>
      <w:lvlText w:val="o"/>
      <w:lvlJc w:val="left"/>
      <w:pPr>
        <w:ind w:left="1500" w:hanging="360"/>
      </w:pPr>
      <w:rPr>
        <w:rFonts w:ascii="Courier New" w:hAnsi="Courier New" w:cs="Courier New" w:hint="default"/>
      </w:rPr>
    </w:lvl>
    <w:lvl w:ilvl="2" w:tplc="E9FAB220" w:tentative="1">
      <w:start w:val="1"/>
      <w:numFmt w:val="bullet"/>
      <w:lvlText w:val=""/>
      <w:lvlJc w:val="left"/>
      <w:pPr>
        <w:ind w:left="2220" w:hanging="360"/>
      </w:pPr>
      <w:rPr>
        <w:rFonts w:ascii="Wingdings" w:hAnsi="Wingdings" w:hint="default"/>
      </w:rPr>
    </w:lvl>
    <w:lvl w:ilvl="3" w:tplc="06B81664" w:tentative="1">
      <w:start w:val="1"/>
      <w:numFmt w:val="bullet"/>
      <w:lvlText w:val=""/>
      <w:lvlJc w:val="left"/>
      <w:pPr>
        <w:ind w:left="2940" w:hanging="360"/>
      </w:pPr>
      <w:rPr>
        <w:rFonts w:ascii="Symbol" w:hAnsi="Symbol" w:hint="default"/>
      </w:rPr>
    </w:lvl>
    <w:lvl w:ilvl="4" w:tplc="55DE8338" w:tentative="1">
      <w:start w:val="1"/>
      <w:numFmt w:val="bullet"/>
      <w:lvlText w:val="o"/>
      <w:lvlJc w:val="left"/>
      <w:pPr>
        <w:ind w:left="3660" w:hanging="360"/>
      </w:pPr>
      <w:rPr>
        <w:rFonts w:ascii="Courier New" w:hAnsi="Courier New" w:cs="Courier New" w:hint="default"/>
      </w:rPr>
    </w:lvl>
    <w:lvl w:ilvl="5" w:tplc="6B646DF2" w:tentative="1">
      <w:start w:val="1"/>
      <w:numFmt w:val="bullet"/>
      <w:lvlText w:val=""/>
      <w:lvlJc w:val="left"/>
      <w:pPr>
        <w:ind w:left="4380" w:hanging="360"/>
      </w:pPr>
      <w:rPr>
        <w:rFonts w:ascii="Wingdings" w:hAnsi="Wingdings" w:hint="default"/>
      </w:rPr>
    </w:lvl>
    <w:lvl w:ilvl="6" w:tplc="3F1452AC" w:tentative="1">
      <w:start w:val="1"/>
      <w:numFmt w:val="bullet"/>
      <w:lvlText w:val=""/>
      <w:lvlJc w:val="left"/>
      <w:pPr>
        <w:ind w:left="5100" w:hanging="360"/>
      </w:pPr>
      <w:rPr>
        <w:rFonts w:ascii="Symbol" w:hAnsi="Symbol" w:hint="default"/>
      </w:rPr>
    </w:lvl>
    <w:lvl w:ilvl="7" w:tplc="21B20CAA" w:tentative="1">
      <w:start w:val="1"/>
      <w:numFmt w:val="bullet"/>
      <w:lvlText w:val="o"/>
      <w:lvlJc w:val="left"/>
      <w:pPr>
        <w:ind w:left="5820" w:hanging="360"/>
      </w:pPr>
      <w:rPr>
        <w:rFonts w:ascii="Courier New" w:hAnsi="Courier New" w:cs="Courier New" w:hint="default"/>
      </w:rPr>
    </w:lvl>
    <w:lvl w:ilvl="8" w:tplc="2286D92A"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23E0C4D2">
      <w:start w:val="1"/>
      <w:numFmt w:val="bullet"/>
      <w:lvlText w:val="u"/>
      <w:lvlJc w:val="left"/>
      <w:pPr>
        <w:ind w:left="720" w:hanging="360"/>
      </w:pPr>
      <w:rPr>
        <w:rFonts w:ascii="Wingdings 3" w:hAnsi="Wingdings 3" w:hint="default"/>
      </w:rPr>
    </w:lvl>
    <w:lvl w:ilvl="1" w:tplc="2A00CF8E" w:tentative="1">
      <w:start w:val="1"/>
      <w:numFmt w:val="bullet"/>
      <w:lvlText w:val="o"/>
      <w:lvlJc w:val="left"/>
      <w:pPr>
        <w:ind w:left="1440" w:hanging="360"/>
      </w:pPr>
      <w:rPr>
        <w:rFonts w:ascii="Courier New" w:hAnsi="Courier New" w:cs="Courier New" w:hint="default"/>
      </w:rPr>
    </w:lvl>
    <w:lvl w:ilvl="2" w:tplc="3A9499DE" w:tentative="1">
      <w:start w:val="1"/>
      <w:numFmt w:val="bullet"/>
      <w:lvlText w:val=""/>
      <w:lvlJc w:val="left"/>
      <w:pPr>
        <w:ind w:left="2160" w:hanging="360"/>
      </w:pPr>
      <w:rPr>
        <w:rFonts w:ascii="Wingdings" w:hAnsi="Wingdings" w:hint="default"/>
      </w:rPr>
    </w:lvl>
    <w:lvl w:ilvl="3" w:tplc="7820037A" w:tentative="1">
      <w:start w:val="1"/>
      <w:numFmt w:val="bullet"/>
      <w:lvlText w:val=""/>
      <w:lvlJc w:val="left"/>
      <w:pPr>
        <w:ind w:left="2880" w:hanging="360"/>
      </w:pPr>
      <w:rPr>
        <w:rFonts w:ascii="Symbol" w:hAnsi="Symbol" w:hint="default"/>
      </w:rPr>
    </w:lvl>
    <w:lvl w:ilvl="4" w:tplc="9A24C1A8" w:tentative="1">
      <w:start w:val="1"/>
      <w:numFmt w:val="bullet"/>
      <w:lvlText w:val="o"/>
      <w:lvlJc w:val="left"/>
      <w:pPr>
        <w:ind w:left="3600" w:hanging="360"/>
      </w:pPr>
      <w:rPr>
        <w:rFonts w:ascii="Courier New" w:hAnsi="Courier New" w:cs="Courier New" w:hint="default"/>
      </w:rPr>
    </w:lvl>
    <w:lvl w:ilvl="5" w:tplc="BDFA935C" w:tentative="1">
      <w:start w:val="1"/>
      <w:numFmt w:val="bullet"/>
      <w:lvlText w:val=""/>
      <w:lvlJc w:val="left"/>
      <w:pPr>
        <w:ind w:left="4320" w:hanging="360"/>
      </w:pPr>
      <w:rPr>
        <w:rFonts w:ascii="Wingdings" w:hAnsi="Wingdings" w:hint="default"/>
      </w:rPr>
    </w:lvl>
    <w:lvl w:ilvl="6" w:tplc="D9BA6AB6" w:tentative="1">
      <w:start w:val="1"/>
      <w:numFmt w:val="bullet"/>
      <w:lvlText w:val=""/>
      <w:lvlJc w:val="left"/>
      <w:pPr>
        <w:ind w:left="5040" w:hanging="360"/>
      </w:pPr>
      <w:rPr>
        <w:rFonts w:ascii="Symbol" w:hAnsi="Symbol" w:hint="default"/>
      </w:rPr>
    </w:lvl>
    <w:lvl w:ilvl="7" w:tplc="5AB42074" w:tentative="1">
      <w:start w:val="1"/>
      <w:numFmt w:val="bullet"/>
      <w:lvlText w:val="o"/>
      <w:lvlJc w:val="left"/>
      <w:pPr>
        <w:ind w:left="5760" w:hanging="360"/>
      </w:pPr>
      <w:rPr>
        <w:rFonts w:ascii="Courier New" w:hAnsi="Courier New" w:cs="Courier New" w:hint="default"/>
      </w:rPr>
    </w:lvl>
    <w:lvl w:ilvl="8" w:tplc="54281D68"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F3C6B5BC">
      <w:start w:val="1"/>
      <w:numFmt w:val="decimal"/>
      <w:lvlText w:val="%1."/>
      <w:lvlJc w:val="left"/>
      <w:pPr>
        <w:ind w:left="720" w:hanging="360"/>
      </w:pPr>
      <w:rPr>
        <w:rFonts w:hint="default"/>
      </w:rPr>
    </w:lvl>
    <w:lvl w:ilvl="1" w:tplc="78FCD5AE" w:tentative="1">
      <w:start w:val="1"/>
      <w:numFmt w:val="lowerLetter"/>
      <w:lvlText w:val="%2."/>
      <w:lvlJc w:val="left"/>
      <w:pPr>
        <w:ind w:left="1440" w:hanging="360"/>
      </w:pPr>
    </w:lvl>
    <w:lvl w:ilvl="2" w:tplc="0E540A90" w:tentative="1">
      <w:start w:val="1"/>
      <w:numFmt w:val="lowerRoman"/>
      <w:lvlText w:val="%3."/>
      <w:lvlJc w:val="right"/>
      <w:pPr>
        <w:ind w:left="2160" w:hanging="180"/>
      </w:pPr>
    </w:lvl>
    <w:lvl w:ilvl="3" w:tplc="A7ACF580" w:tentative="1">
      <w:start w:val="1"/>
      <w:numFmt w:val="decimal"/>
      <w:lvlText w:val="%4."/>
      <w:lvlJc w:val="left"/>
      <w:pPr>
        <w:ind w:left="2880" w:hanging="360"/>
      </w:pPr>
    </w:lvl>
    <w:lvl w:ilvl="4" w:tplc="DD521ADA" w:tentative="1">
      <w:start w:val="1"/>
      <w:numFmt w:val="lowerLetter"/>
      <w:lvlText w:val="%5."/>
      <w:lvlJc w:val="left"/>
      <w:pPr>
        <w:ind w:left="3600" w:hanging="360"/>
      </w:pPr>
    </w:lvl>
    <w:lvl w:ilvl="5" w:tplc="8C40EF8C" w:tentative="1">
      <w:start w:val="1"/>
      <w:numFmt w:val="lowerRoman"/>
      <w:lvlText w:val="%6."/>
      <w:lvlJc w:val="right"/>
      <w:pPr>
        <w:ind w:left="4320" w:hanging="180"/>
      </w:pPr>
    </w:lvl>
    <w:lvl w:ilvl="6" w:tplc="52D07068" w:tentative="1">
      <w:start w:val="1"/>
      <w:numFmt w:val="decimal"/>
      <w:lvlText w:val="%7."/>
      <w:lvlJc w:val="left"/>
      <w:pPr>
        <w:ind w:left="5040" w:hanging="360"/>
      </w:pPr>
    </w:lvl>
    <w:lvl w:ilvl="7" w:tplc="BCC8BD80" w:tentative="1">
      <w:start w:val="1"/>
      <w:numFmt w:val="lowerLetter"/>
      <w:lvlText w:val="%8."/>
      <w:lvlJc w:val="left"/>
      <w:pPr>
        <w:ind w:left="5760" w:hanging="360"/>
      </w:pPr>
    </w:lvl>
    <w:lvl w:ilvl="8" w:tplc="8BAA832A"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B67A8A"/>
    <w:multiLevelType w:val="hybridMultilevel"/>
    <w:tmpl w:val="C1FEE3B0"/>
    <w:lvl w:ilvl="0" w:tplc="501EFAF8">
      <w:start w:val="1"/>
      <w:numFmt w:val="bullet"/>
      <w:lvlText w:val=""/>
      <w:lvlJc w:val="left"/>
      <w:pPr>
        <w:ind w:left="720" w:hanging="360"/>
      </w:pPr>
      <w:rPr>
        <w:rFonts w:ascii="Wingdings" w:hAnsi="Wingdings" w:hint="default"/>
      </w:rPr>
    </w:lvl>
    <w:lvl w:ilvl="1" w:tplc="B1D24D2E">
      <w:start w:val="1"/>
      <w:numFmt w:val="bullet"/>
      <w:lvlText w:val=""/>
      <w:lvlJc w:val="left"/>
      <w:pPr>
        <w:ind w:left="1440" w:hanging="360"/>
      </w:pPr>
      <w:rPr>
        <w:rFonts w:ascii="Symbol" w:hAnsi="Symbol" w:hint="default"/>
      </w:rPr>
    </w:lvl>
    <w:lvl w:ilvl="2" w:tplc="63845E86" w:tentative="1">
      <w:start w:val="1"/>
      <w:numFmt w:val="lowerRoman"/>
      <w:lvlText w:val="%3."/>
      <w:lvlJc w:val="right"/>
      <w:pPr>
        <w:ind w:left="2160" w:hanging="180"/>
      </w:pPr>
    </w:lvl>
    <w:lvl w:ilvl="3" w:tplc="D1844AF2" w:tentative="1">
      <w:start w:val="1"/>
      <w:numFmt w:val="decimal"/>
      <w:lvlText w:val="%4."/>
      <w:lvlJc w:val="left"/>
      <w:pPr>
        <w:ind w:left="2880" w:hanging="360"/>
      </w:pPr>
    </w:lvl>
    <w:lvl w:ilvl="4" w:tplc="86B8D992" w:tentative="1">
      <w:start w:val="1"/>
      <w:numFmt w:val="lowerLetter"/>
      <w:lvlText w:val="%5."/>
      <w:lvlJc w:val="left"/>
      <w:pPr>
        <w:ind w:left="3600" w:hanging="360"/>
      </w:pPr>
    </w:lvl>
    <w:lvl w:ilvl="5" w:tplc="4A68E984" w:tentative="1">
      <w:start w:val="1"/>
      <w:numFmt w:val="lowerRoman"/>
      <w:lvlText w:val="%6."/>
      <w:lvlJc w:val="right"/>
      <w:pPr>
        <w:ind w:left="4320" w:hanging="180"/>
      </w:pPr>
    </w:lvl>
    <w:lvl w:ilvl="6" w:tplc="05C6F5C2" w:tentative="1">
      <w:start w:val="1"/>
      <w:numFmt w:val="decimal"/>
      <w:lvlText w:val="%7."/>
      <w:lvlJc w:val="left"/>
      <w:pPr>
        <w:ind w:left="5040" w:hanging="360"/>
      </w:pPr>
    </w:lvl>
    <w:lvl w:ilvl="7" w:tplc="9AEE49FE" w:tentative="1">
      <w:start w:val="1"/>
      <w:numFmt w:val="lowerLetter"/>
      <w:lvlText w:val="%8."/>
      <w:lvlJc w:val="left"/>
      <w:pPr>
        <w:ind w:left="5760" w:hanging="360"/>
      </w:pPr>
    </w:lvl>
    <w:lvl w:ilvl="8" w:tplc="E662E412" w:tentative="1">
      <w:start w:val="1"/>
      <w:numFmt w:val="lowerRoman"/>
      <w:lvlText w:val="%9."/>
      <w:lvlJc w:val="right"/>
      <w:pPr>
        <w:ind w:left="6480" w:hanging="180"/>
      </w:pPr>
    </w:lvl>
  </w:abstractNum>
  <w:abstractNum w:abstractNumId="8"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9"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32EA7385"/>
    <w:multiLevelType w:val="hybridMultilevel"/>
    <w:tmpl w:val="26F4CAD4"/>
    <w:lvl w:ilvl="0" w:tplc="C32C2B08">
      <w:start w:val="1"/>
      <w:numFmt w:val="decimal"/>
      <w:lvlText w:val="%1."/>
      <w:lvlJc w:val="left"/>
      <w:pPr>
        <w:tabs>
          <w:tab w:val="num" w:pos="720"/>
        </w:tabs>
        <w:ind w:left="720" w:hanging="360"/>
      </w:pPr>
      <w:rPr>
        <w:rFonts w:hint="default"/>
        <w:b/>
      </w:rPr>
    </w:lvl>
    <w:lvl w:ilvl="1" w:tplc="371CA584" w:tentative="1">
      <w:start w:val="1"/>
      <w:numFmt w:val="lowerLetter"/>
      <w:lvlText w:val="%2."/>
      <w:lvlJc w:val="left"/>
      <w:pPr>
        <w:tabs>
          <w:tab w:val="num" w:pos="1440"/>
        </w:tabs>
        <w:ind w:left="1440" w:hanging="360"/>
      </w:pPr>
    </w:lvl>
    <w:lvl w:ilvl="2" w:tplc="4CCA6742" w:tentative="1">
      <w:start w:val="1"/>
      <w:numFmt w:val="lowerRoman"/>
      <w:lvlText w:val="%3."/>
      <w:lvlJc w:val="right"/>
      <w:pPr>
        <w:tabs>
          <w:tab w:val="num" w:pos="2160"/>
        </w:tabs>
        <w:ind w:left="2160" w:hanging="180"/>
      </w:pPr>
    </w:lvl>
    <w:lvl w:ilvl="3" w:tplc="E13EA920" w:tentative="1">
      <w:start w:val="1"/>
      <w:numFmt w:val="decimal"/>
      <w:lvlText w:val="%4."/>
      <w:lvlJc w:val="left"/>
      <w:pPr>
        <w:tabs>
          <w:tab w:val="num" w:pos="2880"/>
        </w:tabs>
        <w:ind w:left="2880" w:hanging="360"/>
      </w:pPr>
    </w:lvl>
    <w:lvl w:ilvl="4" w:tplc="C6D45CA0" w:tentative="1">
      <w:start w:val="1"/>
      <w:numFmt w:val="lowerLetter"/>
      <w:lvlText w:val="%5."/>
      <w:lvlJc w:val="left"/>
      <w:pPr>
        <w:tabs>
          <w:tab w:val="num" w:pos="3600"/>
        </w:tabs>
        <w:ind w:left="3600" w:hanging="360"/>
      </w:pPr>
    </w:lvl>
    <w:lvl w:ilvl="5" w:tplc="D94A83AC" w:tentative="1">
      <w:start w:val="1"/>
      <w:numFmt w:val="lowerRoman"/>
      <w:lvlText w:val="%6."/>
      <w:lvlJc w:val="right"/>
      <w:pPr>
        <w:tabs>
          <w:tab w:val="num" w:pos="4320"/>
        </w:tabs>
        <w:ind w:left="4320" w:hanging="180"/>
      </w:pPr>
    </w:lvl>
    <w:lvl w:ilvl="6" w:tplc="E30CF49E" w:tentative="1">
      <w:start w:val="1"/>
      <w:numFmt w:val="decimal"/>
      <w:lvlText w:val="%7."/>
      <w:lvlJc w:val="left"/>
      <w:pPr>
        <w:tabs>
          <w:tab w:val="num" w:pos="5040"/>
        </w:tabs>
        <w:ind w:left="5040" w:hanging="360"/>
      </w:pPr>
    </w:lvl>
    <w:lvl w:ilvl="7" w:tplc="E6EEBB64" w:tentative="1">
      <w:start w:val="1"/>
      <w:numFmt w:val="lowerLetter"/>
      <w:lvlText w:val="%8."/>
      <w:lvlJc w:val="left"/>
      <w:pPr>
        <w:tabs>
          <w:tab w:val="num" w:pos="5760"/>
        </w:tabs>
        <w:ind w:left="5760" w:hanging="360"/>
      </w:pPr>
    </w:lvl>
    <w:lvl w:ilvl="8" w:tplc="62CA71EA" w:tentative="1">
      <w:start w:val="1"/>
      <w:numFmt w:val="lowerRoman"/>
      <w:lvlText w:val="%9."/>
      <w:lvlJc w:val="right"/>
      <w:pPr>
        <w:tabs>
          <w:tab w:val="num" w:pos="6480"/>
        </w:tabs>
        <w:ind w:left="6480" w:hanging="180"/>
      </w:pPr>
    </w:lvl>
  </w:abstractNum>
  <w:abstractNum w:abstractNumId="12" w15:restartNumberingAfterBreak="0">
    <w:nsid w:val="384C6DE7"/>
    <w:multiLevelType w:val="hybridMultilevel"/>
    <w:tmpl w:val="3CC27072"/>
    <w:lvl w:ilvl="0" w:tplc="A266C8EA">
      <w:start w:val="1"/>
      <w:numFmt w:val="bullet"/>
      <w:lvlText w:val=""/>
      <w:lvlJc w:val="left"/>
      <w:pPr>
        <w:ind w:left="720" w:hanging="360"/>
      </w:pPr>
      <w:rPr>
        <w:rFonts w:ascii="Wingdings" w:hAnsi="Wingdings" w:hint="default"/>
      </w:rPr>
    </w:lvl>
    <w:lvl w:ilvl="1" w:tplc="44C0D23C">
      <w:start w:val="1"/>
      <w:numFmt w:val="bullet"/>
      <w:lvlText w:val=""/>
      <w:lvlJc w:val="left"/>
      <w:pPr>
        <w:ind w:left="1440" w:hanging="360"/>
      </w:pPr>
      <w:rPr>
        <w:rFonts w:ascii="Symbol" w:hAnsi="Symbol" w:hint="default"/>
      </w:rPr>
    </w:lvl>
    <w:lvl w:ilvl="2" w:tplc="0284D6AC" w:tentative="1">
      <w:start w:val="1"/>
      <w:numFmt w:val="lowerRoman"/>
      <w:lvlText w:val="%3."/>
      <w:lvlJc w:val="right"/>
      <w:pPr>
        <w:ind w:left="2160" w:hanging="180"/>
      </w:pPr>
    </w:lvl>
    <w:lvl w:ilvl="3" w:tplc="13146E90" w:tentative="1">
      <w:start w:val="1"/>
      <w:numFmt w:val="decimal"/>
      <w:lvlText w:val="%4."/>
      <w:lvlJc w:val="left"/>
      <w:pPr>
        <w:ind w:left="2880" w:hanging="360"/>
      </w:pPr>
    </w:lvl>
    <w:lvl w:ilvl="4" w:tplc="1D42BC34" w:tentative="1">
      <w:start w:val="1"/>
      <w:numFmt w:val="lowerLetter"/>
      <w:lvlText w:val="%5."/>
      <w:lvlJc w:val="left"/>
      <w:pPr>
        <w:ind w:left="3600" w:hanging="360"/>
      </w:pPr>
    </w:lvl>
    <w:lvl w:ilvl="5" w:tplc="956E1A96" w:tentative="1">
      <w:start w:val="1"/>
      <w:numFmt w:val="lowerRoman"/>
      <w:lvlText w:val="%6."/>
      <w:lvlJc w:val="right"/>
      <w:pPr>
        <w:ind w:left="4320" w:hanging="180"/>
      </w:pPr>
    </w:lvl>
    <w:lvl w:ilvl="6" w:tplc="6B7E4280" w:tentative="1">
      <w:start w:val="1"/>
      <w:numFmt w:val="decimal"/>
      <w:lvlText w:val="%7."/>
      <w:lvlJc w:val="left"/>
      <w:pPr>
        <w:ind w:left="5040" w:hanging="360"/>
      </w:pPr>
    </w:lvl>
    <w:lvl w:ilvl="7" w:tplc="9A006C86" w:tentative="1">
      <w:start w:val="1"/>
      <w:numFmt w:val="lowerLetter"/>
      <w:lvlText w:val="%8."/>
      <w:lvlJc w:val="left"/>
      <w:pPr>
        <w:ind w:left="5760" w:hanging="360"/>
      </w:pPr>
    </w:lvl>
    <w:lvl w:ilvl="8" w:tplc="E3500B28" w:tentative="1">
      <w:start w:val="1"/>
      <w:numFmt w:val="lowerRoman"/>
      <w:lvlText w:val="%9."/>
      <w:lvlJc w:val="right"/>
      <w:pPr>
        <w:ind w:left="6480" w:hanging="180"/>
      </w:pPr>
    </w:lvl>
  </w:abstractNum>
  <w:abstractNum w:abstractNumId="13" w15:restartNumberingAfterBreak="0">
    <w:nsid w:val="3EAD3D6B"/>
    <w:multiLevelType w:val="hybridMultilevel"/>
    <w:tmpl w:val="F6081804"/>
    <w:lvl w:ilvl="0" w:tplc="D196F37A">
      <w:start w:val="1"/>
      <w:numFmt w:val="bullet"/>
      <w:lvlText w:val=""/>
      <w:lvlJc w:val="left"/>
      <w:pPr>
        <w:ind w:left="360" w:hanging="360"/>
      </w:pPr>
      <w:rPr>
        <w:rFonts w:ascii="Wingdings 3" w:hAnsi="Wingdings 3" w:hint="default"/>
      </w:rPr>
    </w:lvl>
    <w:lvl w:ilvl="1" w:tplc="520ADC68" w:tentative="1">
      <w:start w:val="1"/>
      <w:numFmt w:val="bullet"/>
      <w:lvlText w:val="o"/>
      <w:lvlJc w:val="left"/>
      <w:pPr>
        <w:ind w:left="1080" w:hanging="360"/>
      </w:pPr>
      <w:rPr>
        <w:rFonts w:ascii="Courier New" w:hAnsi="Courier New" w:cs="Courier New" w:hint="default"/>
      </w:rPr>
    </w:lvl>
    <w:lvl w:ilvl="2" w:tplc="0B68DC54" w:tentative="1">
      <w:start w:val="1"/>
      <w:numFmt w:val="bullet"/>
      <w:lvlText w:val=""/>
      <w:lvlJc w:val="left"/>
      <w:pPr>
        <w:ind w:left="1800" w:hanging="360"/>
      </w:pPr>
      <w:rPr>
        <w:rFonts w:ascii="Wingdings" w:hAnsi="Wingdings" w:hint="default"/>
      </w:rPr>
    </w:lvl>
    <w:lvl w:ilvl="3" w:tplc="2A1CF040" w:tentative="1">
      <w:start w:val="1"/>
      <w:numFmt w:val="bullet"/>
      <w:lvlText w:val=""/>
      <w:lvlJc w:val="left"/>
      <w:pPr>
        <w:ind w:left="2520" w:hanging="360"/>
      </w:pPr>
      <w:rPr>
        <w:rFonts w:ascii="Symbol" w:hAnsi="Symbol" w:hint="default"/>
      </w:rPr>
    </w:lvl>
    <w:lvl w:ilvl="4" w:tplc="5410404C" w:tentative="1">
      <w:start w:val="1"/>
      <w:numFmt w:val="bullet"/>
      <w:lvlText w:val="o"/>
      <w:lvlJc w:val="left"/>
      <w:pPr>
        <w:ind w:left="3240" w:hanging="360"/>
      </w:pPr>
      <w:rPr>
        <w:rFonts w:ascii="Courier New" w:hAnsi="Courier New" w:cs="Courier New" w:hint="default"/>
      </w:rPr>
    </w:lvl>
    <w:lvl w:ilvl="5" w:tplc="34D89084" w:tentative="1">
      <w:start w:val="1"/>
      <w:numFmt w:val="bullet"/>
      <w:lvlText w:val=""/>
      <w:lvlJc w:val="left"/>
      <w:pPr>
        <w:ind w:left="3960" w:hanging="360"/>
      </w:pPr>
      <w:rPr>
        <w:rFonts w:ascii="Wingdings" w:hAnsi="Wingdings" w:hint="default"/>
      </w:rPr>
    </w:lvl>
    <w:lvl w:ilvl="6" w:tplc="97FC4990" w:tentative="1">
      <w:start w:val="1"/>
      <w:numFmt w:val="bullet"/>
      <w:lvlText w:val=""/>
      <w:lvlJc w:val="left"/>
      <w:pPr>
        <w:ind w:left="4680" w:hanging="360"/>
      </w:pPr>
      <w:rPr>
        <w:rFonts w:ascii="Symbol" w:hAnsi="Symbol" w:hint="default"/>
      </w:rPr>
    </w:lvl>
    <w:lvl w:ilvl="7" w:tplc="B06241FC" w:tentative="1">
      <w:start w:val="1"/>
      <w:numFmt w:val="bullet"/>
      <w:lvlText w:val="o"/>
      <w:lvlJc w:val="left"/>
      <w:pPr>
        <w:ind w:left="5400" w:hanging="360"/>
      </w:pPr>
      <w:rPr>
        <w:rFonts w:ascii="Courier New" w:hAnsi="Courier New" w:cs="Courier New" w:hint="default"/>
      </w:rPr>
    </w:lvl>
    <w:lvl w:ilvl="8" w:tplc="F664FCE4" w:tentative="1">
      <w:start w:val="1"/>
      <w:numFmt w:val="bullet"/>
      <w:lvlText w:val=""/>
      <w:lvlJc w:val="left"/>
      <w:pPr>
        <w:ind w:left="6120" w:hanging="360"/>
      </w:pPr>
      <w:rPr>
        <w:rFonts w:ascii="Wingdings" w:hAnsi="Wingdings" w:hint="default"/>
      </w:rPr>
    </w:lvl>
  </w:abstractNum>
  <w:abstractNum w:abstractNumId="14" w15:restartNumberingAfterBreak="0">
    <w:nsid w:val="411D2A15"/>
    <w:multiLevelType w:val="hybridMultilevel"/>
    <w:tmpl w:val="6962343A"/>
    <w:lvl w:ilvl="0" w:tplc="1E06422E">
      <w:start w:val="1"/>
      <w:numFmt w:val="decimal"/>
      <w:lvlText w:val="%1."/>
      <w:lvlJc w:val="left"/>
      <w:pPr>
        <w:ind w:left="720" w:hanging="360"/>
      </w:pPr>
      <w:rPr>
        <w:rFonts w:ascii="Arial" w:hAnsi="Arial" w:hint="default"/>
      </w:rPr>
    </w:lvl>
    <w:lvl w:ilvl="1" w:tplc="687E0B32" w:tentative="1">
      <w:start w:val="1"/>
      <w:numFmt w:val="lowerLetter"/>
      <w:lvlText w:val="%2."/>
      <w:lvlJc w:val="left"/>
      <w:pPr>
        <w:ind w:left="1440" w:hanging="360"/>
      </w:pPr>
    </w:lvl>
    <w:lvl w:ilvl="2" w:tplc="F6920B18" w:tentative="1">
      <w:start w:val="1"/>
      <w:numFmt w:val="lowerRoman"/>
      <w:lvlText w:val="%3."/>
      <w:lvlJc w:val="right"/>
      <w:pPr>
        <w:ind w:left="2160" w:hanging="180"/>
      </w:pPr>
    </w:lvl>
    <w:lvl w:ilvl="3" w:tplc="1402EF7E" w:tentative="1">
      <w:start w:val="1"/>
      <w:numFmt w:val="decimal"/>
      <w:lvlText w:val="%4."/>
      <w:lvlJc w:val="left"/>
      <w:pPr>
        <w:ind w:left="2880" w:hanging="360"/>
      </w:pPr>
    </w:lvl>
    <w:lvl w:ilvl="4" w:tplc="3FBC5A5C" w:tentative="1">
      <w:start w:val="1"/>
      <w:numFmt w:val="lowerLetter"/>
      <w:lvlText w:val="%5."/>
      <w:lvlJc w:val="left"/>
      <w:pPr>
        <w:ind w:left="3600" w:hanging="360"/>
      </w:pPr>
    </w:lvl>
    <w:lvl w:ilvl="5" w:tplc="F510FCA6" w:tentative="1">
      <w:start w:val="1"/>
      <w:numFmt w:val="lowerRoman"/>
      <w:lvlText w:val="%6."/>
      <w:lvlJc w:val="right"/>
      <w:pPr>
        <w:ind w:left="4320" w:hanging="180"/>
      </w:pPr>
    </w:lvl>
    <w:lvl w:ilvl="6" w:tplc="30B044A0" w:tentative="1">
      <w:start w:val="1"/>
      <w:numFmt w:val="decimal"/>
      <w:lvlText w:val="%7."/>
      <w:lvlJc w:val="left"/>
      <w:pPr>
        <w:ind w:left="5040" w:hanging="360"/>
      </w:pPr>
    </w:lvl>
    <w:lvl w:ilvl="7" w:tplc="1472A8CC" w:tentative="1">
      <w:start w:val="1"/>
      <w:numFmt w:val="lowerLetter"/>
      <w:lvlText w:val="%8."/>
      <w:lvlJc w:val="left"/>
      <w:pPr>
        <w:ind w:left="5760" w:hanging="360"/>
      </w:pPr>
    </w:lvl>
    <w:lvl w:ilvl="8" w:tplc="491C3F88" w:tentative="1">
      <w:start w:val="1"/>
      <w:numFmt w:val="lowerRoman"/>
      <w:lvlText w:val="%9."/>
      <w:lvlJc w:val="right"/>
      <w:pPr>
        <w:ind w:left="6480" w:hanging="180"/>
      </w:pPr>
    </w:lvl>
  </w:abstractNum>
  <w:abstractNum w:abstractNumId="15" w15:restartNumberingAfterBreak="0">
    <w:nsid w:val="4E2A54B5"/>
    <w:multiLevelType w:val="multilevel"/>
    <w:tmpl w:val="7966B184"/>
    <w:lvl w:ilvl="0">
      <w:start w:val="1"/>
      <w:numFmt w:val="decimal"/>
      <w:lvlText w:val="%1."/>
      <w:lvlJc w:val="left"/>
      <w:pPr>
        <w:ind w:left="720" w:hanging="360"/>
      </w:pPr>
      <w:rPr>
        <w:rFonts w:ascii="Arial" w:hAnsi="Arial"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E5625E"/>
    <w:multiLevelType w:val="hybridMultilevel"/>
    <w:tmpl w:val="06766124"/>
    <w:lvl w:ilvl="0" w:tplc="5956A2E2">
      <w:start w:val="1"/>
      <w:numFmt w:val="decimal"/>
      <w:lvlText w:val="%1."/>
      <w:lvlJc w:val="left"/>
      <w:pPr>
        <w:ind w:left="720" w:hanging="360"/>
      </w:pPr>
    </w:lvl>
    <w:lvl w:ilvl="1" w:tplc="4D0AF49C" w:tentative="1">
      <w:start w:val="1"/>
      <w:numFmt w:val="lowerLetter"/>
      <w:lvlText w:val="%2."/>
      <w:lvlJc w:val="left"/>
      <w:pPr>
        <w:ind w:left="1440" w:hanging="360"/>
      </w:pPr>
    </w:lvl>
    <w:lvl w:ilvl="2" w:tplc="B25AB2C6" w:tentative="1">
      <w:start w:val="1"/>
      <w:numFmt w:val="lowerRoman"/>
      <w:lvlText w:val="%3."/>
      <w:lvlJc w:val="right"/>
      <w:pPr>
        <w:ind w:left="2160" w:hanging="180"/>
      </w:pPr>
    </w:lvl>
    <w:lvl w:ilvl="3" w:tplc="C3447A8C" w:tentative="1">
      <w:start w:val="1"/>
      <w:numFmt w:val="decimal"/>
      <w:lvlText w:val="%4."/>
      <w:lvlJc w:val="left"/>
      <w:pPr>
        <w:ind w:left="2880" w:hanging="360"/>
      </w:pPr>
    </w:lvl>
    <w:lvl w:ilvl="4" w:tplc="D62835F8" w:tentative="1">
      <w:start w:val="1"/>
      <w:numFmt w:val="lowerLetter"/>
      <w:lvlText w:val="%5."/>
      <w:lvlJc w:val="left"/>
      <w:pPr>
        <w:ind w:left="3600" w:hanging="360"/>
      </w:pPr>
    </w:lvl>
    <w:lvl w:ilvl="5" w:tplc="BBF65B40" w:tentative="1">
      <w:start w:val="1"/>
      <w:numFmt w:val="lowerRoman"/>
      <w:lvlText w:val="%6."/>
      <w:lvlJc w:val="right"/>
      <w:pPr>
        <w:ind w:left="4320" w:hanging="180"/>
      </w:pPr>
    </w:lvl>
    <w:lvl w:ilvl="6" w:tplc="445A9B8A" w:tentative="1">
      <w:start w:val="1"/>
      <w:numFmt w:val="decimal"/>
      <w:lvlText w:val="%7."/>
      <w:lvlJc w:val="left"/>
      <w:pPr>
        <w:ind w:left="5040" w:hanging="360"/>
      </w:pPr>
    </w:lvl>
    <w:lvl w:ilvl="7" w:tplc="6AFCA504" w:tentative="1">
      <w:start w:val="1"/>
      <w:numFmt w:val="lowerLetter"/>
      <w:lvlText w:val="%8."/>
      <w:lvlJc w:val="left"/>
      <w:pPr>
        <w:ind w:left="5760" w:hanging="360"/>
      </w:pPr>
    </w:lvl>
    <w:lvl w:ilvl="8" w:tplc="321015A2" w:tentative="1">
      <w:start w:val="1"/>
      <w:numFmt w:val="lowerRoman"/>
      <w:lvlText w:val="%9."/>
      <w:lvlJc w:val="right"/>
      <w:pPr>
        <w:ind w:left="6480" w:hanging="180"/>
      </w:pPr>
    </w:lvl>
  </w:abstractNum>
  <w:abstractNum w:abstractNumId="17" w15:restartNumberingAfterBreak="0">
    <w:nsid w:val="5EBF00E5"/>
    <w:multiLevelType w:val="hybridMultilevel"/>
    <w:tmpl w:val="8DE63D7C"/>
    <w:lvl w:ilvl="0" w:tplc="0809000F">
      <w:start w:val="1"/>
      <w:numFmt w:val="decimal"/>
      <w:lvlText w:val="%1."/>
      <w:lvlJc w:val="left"/>
      <w:pPr>
        <w:ind w:left="720" w:hanging="360"/>
      </w:pPr>
      <w:rPr>
        <w:rFonts w:hint="default"/>
        <w:b/>
        <w:i w:val="0"/>
        <w:color w:val="auto"/>
      </w:rPr>
    </w:lvl>
    <w:lvl w:ilvl="1" w:tplc="EBB8755E" w:tentative="1">
      <w:start w:val="1"/>
      <w:numFmt w:val="lowerLetter"/>
      <w:lvlText w:val="%2."/>
      <w:lvlJc w:val="left"/>
      <w:pPr>
        <w:ind w:left="1440" w:hanging="360"/>
      </w:pPr>
    </w:lvl>
    <w:lvl w:ilvl="2" w:tplc="0A9A252C" w:tentative="1">
      <w:start w:val="1"/>
      <w:numFmt w:val="lowerRoman"/>
      <w:lvlText w:val="%3."/>
      <w:lvlJc w:val="right"/>
      <w:pPr>
        <w:ind w:left="2160" w:hanging="180"/>
      </w:pPr>
    </w:lvl>
    <w:lvl w:ilvl="3" w:tplc="92704CAE" w:tentative="1">
      <w:start w:val="1"/>
      <w:numFmt w:val="decimal"/>
      <w:lvlText w:val="%4."/>
      <w:lvlJc w:val="left"/>
      <w:pPr>
        <w:ind w:left="2880" w:hanging="360"/>
      </w:pPr>
    </w:lvl>
    <w:lvl w:ilvl="4" w:tplc="40B85822" w:tentative="1">
      <w:start w:val="1"/>
      <w:numFmt w:val="lowerLetter"/>
      <w:lvlText w:val="%5."/>
      <w:lvlJc w:val="left"/>
      <w:pPr>
        <w:ind w:left="3600" w:hanging="360"/>
      </w:pPr>
    </w:lvl>
    <w:lvl w:ilvl="5" w:tplc="A1746220" w:tentative="1">
      <w:start w:val="1"/>
      <w:numFmt w:val="lowerRoman"/>
      <w:lvlText w:val="%6."/>
      <w:lvlJc w:val="right"/>
      <w:pPr>
        <w:ind w:left="4320" w:hanging="180"/>
      </w:pPr>
    </w:lvl>
    <w:lvl w:ilvl="6" w:tplc="D47A042C" w:tentative="1">
      <w:start w:val="1"/>
      <w:numFmt w:val="decimal"/>
      <w:lvlText w:val="%7."/>
      <w:lvlJc w:val="left"/>
      <w:pPr>
        <w:ind w:left="5040" w:hanging="360"/>
      </w:pPr>
    </w:lvl>
    <w:lvl w:ilvl="7" w:tplc="47003E40" w:tentative="1">
      <w:start w:val="1"/>
      <w:numFmt w:val="lowerLetter"/>
      <w:lvlText w:val="%8."/>
      <w:lvlJc w:val="left"/>
      <w:pPr>
        <w:ind w:left="5760" w:hanging="360"/>
      </w:pPr>
    </w:lvl>
    <w:lvl w:ilvl="8" w:tplc="6D248B08"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1"/>
  </w:num>
  <w:num w:numId="2">
    <w:abstractNumId w:val="13"/>
  </w:num>
  <w:num w:numId="3">
    <w:abstractNumId w:val="16"/>
  </w:num>
  <w:num w:numId="4">
    <w:abstractNumId w:val="9"/>
  </w:num>
  <w:num w:numId="5">
    <w:abstractNumId w:val="12"/>
  </w:num>
  <w:num w:numId="6">
    <w:abstractNumId w:val="7"/>
  </w:num>
  <w:num w:numId="7">
    <w:abstractNumId w:val="4"/>
  </w:num>
  <w:num w:numId="8">
    <w:abstractNumId w:val="6"/>
  </w:num>
  <w:num w:numId="9">
    <w:abstractNumId w:val="1"/>
  </w:num>
  <w:num w:numId="10">
    <w:abstractNumId w:val="2"/>
  </w:num>
  <w:num w:numId="11">
    <w:abstractNumId w:val="3"/>
  </w:num>
  <w:num w:numId="12">
    <w:abstractNumId w:val="10"/>
  </w:num>
  <w:num w:numId="13">
    <w:abstractNumId w:val="0"/>
  </w:num>
  <w:num w:numId="14">
    <w:abstractNumId w:val="18"/>
  </w:num>
  <w:num w:numId="15">
    <w:abstractNumId w:val="8"/>
  </w:num>
  <w:num w:numId="16">
    <w:abstractNumId w:val="14"/>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8F8"/>
    <w:rsid w:val="00000BEB"/>
    <w:rsid w:val="00097380"/>
    <w:rsid w:val="00306164"/>
    <w:rsid w:val="005218DD"/>
    <w:rsid w:val="006E68F8"/>
    <w:rsid w:val="00CC4F22"/>
    <w:rsid w:val="00CC7D80"/>
    <w:rsid w:val="00FA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DCF6F"/>
  <w15:docId w15:val="{53512F0C-E3EF-4963-AC70-B0CF3929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paragraph" w:customStyle="1" w:styleId="Default">
    <w:name w:val="Default"/>
    <w:rsid w:val="008F6D7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AB80-1C0E-4F2E-A2AA-D246D5AB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106</TotalTime>
  <Pages>5</Pages>
  <Words>1534</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20</cp:revision>
  <cp:lastPrinted>2018-03-14T15:24:00Z</cp:lastPrinted>
  <dcterms:created xsi:type="dcterms:W3CDTF">2019-10-29T10:40:00Z</dcterms:created>
  <dcterms:modified xsi:type="dcterms:W3CDTF">2020-11-05T09:45:00Z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Panel</vt:lpwstr>
  </property>
  <property fmtid="{D5CDD505-2E9C-101B-9397-08002B2CF9AE}" pid="3" name="IssueTitle">
    <vt:lpwstr>New Premises Application</vt:lpwstr>
  </property>
  <property fmtid="{D5CDD505-2E9C-101B-9397-08002B2CF9AE}" pid="4" name="LeadDirector">
    <vt:lpwstr>Shared Services Lead - Legal &amp; Deputy Monitoring Officer</vt:lpwstr>
  </property>
  <property fmtid="{D5CDD505-2E9C-101B-9397-08002B2CF9AE}" pid="5" name="LeadOfficer">
    <vt:lpwstr>Chris Ward</vt:lpwstr>
  </property>
  <property fmtid="{D5CDD505-2E9C-101B-9397-08002B2CF9AE}" pid="6" name="LeadOfficerEmail">
    <vt:lpwstr>cward@southribble.gov.uk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Thursday, 19 November 2020</vt:lpwstr>
  </property>
</Properties>
</file>